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91A15" w14:textId="77777777" w:rsidR="006B0CA7" w:rsidRDefault="006B0CA7" w:rsidP="006B0CA7">
      <w:pPr>
        <w:spacing w:before="120" w:after="120"/>
      </w:pPr>
    </w:p>
    <w:p w14:paraId="6D9BE053" w14:textId="77777777" w:rsidR="006B0CA7" w:rsidRPr="006B0CA7" w:rsidRDefault="006B0CA7" w:rsidP="006B0CA7">
      <w:pPr>
        <w:spacing w:before="120" w:after="120"/>
        <w:rPr>
          <w:b/>
        </w:rPr>
      </w:pPr>
      <w:r w:rsidRPr="006B0CA7">
        <w:rPr>
          <w:b/>
        </w:rPr>
        <w:t>Descrizione del progetto:</w:t>
      </w:r>
    </w:p>
    <w:p w14:paraId="7CC9DDE8" w14:textId="475916F1" w:rsidR="00201A3E" w:rsidRDefault="00201A3E" w:rsidP="00201A3E">
      <w:pPr>
        <w:spacing w:before="120" w:after="120"/>
      </w:pPr>
      <w:r>
        <w:t xml:space="preserve">Il progetto Tourist Wallet contribuisce al perseguimento della Smart </w:t>
      </w:r>
      <w:proofErr w:type="spellStart"/>
      <w:r>
        <w:t>Specialization</w:t>
      </w:r>
      <w:proofErr w:type="spellEnd"/>
      <w:r>
        <w:t xml:space="preserve"> Strategy della Regione Lazio, inquadrandosi nell’ambito del </w:t>
      </w:r>
      <w:bookmarkStart w:id="0" w:name="_GoBack"/>
      <w:bookmarkEnd w:id="0"/>
      <w:r>
        <w:t xml:space="preserve">Turismo, offrendo nuove opportunità di business e l’opportunità di sperimentare </w:t>
      </w:r>
      <w:proofErr w:type="gramStart"/>
      <w:r>
        <w:t>le tecnologia</w:t>
      </w:r>
      <w:proofErr w:type="gramEnd"/>
      <w:r>
        <w:t xml:space="preserve"> blockchain per gestire pagamenti e prenotazioni utilizzando monete virtuali. Più nello specifico Tourist Wallet si propone nell’ambito dei Servizi digitali per il Turismo con soluzioni innovative in ambito ICT per:</w:t>
      </w:r>
    </w:p>
    <w:p w14:paraId="67531400" w14:textId="759A452B" w:rsidR="00201A3E" w:rsidRDefault="00201A3E" w:rsidP="0043078E">
      <w:pPr>
        <w:pStyle w:val="BulletList"/>
      </w:pPr>
      <w:r>
        <w:t>L’adozione di sistemi (di promozione, prenotazione, gestione, etc.) basati su tecnologie digitali</w:t>
      </w:r>
    </w:p>
    <w:p w14:paraId="3C766B76" w14:textId="391E9AF4" w:rsidR="00201A3E" w:rsidRDefault="00201A3E" w:rsidP="0043078E">
      <w:pPr>
        <w:pStyle w:val="BulletList"/>
      </w:pPr>
      <w:r>
        <w:t>Il miglioramento dell’offerta della ricettività alberghiera con un particolare focus, tra i 5 cluster regionali strategici individuati (fonte S3), al segmento dell’enogastronomia e dell’</w:t>
      </w:r>
      <w:proofErr w:type="spellStart"/>
      <w:r>
        <w:t>Italian</w:t>
      </w:r>
      <w:proofErr w:type="spellEnd"/>
      <w:r>
        <w:t xml:space="preserve"> Style</w:t>
      </w:r>
    </w:p>
    <w:p w14:paraId="26057499" w14:textId="77777777" w:rsidR="00201A3E" w:rsidRDefault="00201A3E" w:rsidP="00201A3E">
      <w:pPr>
        <w:spacing w:before="120" w:after="120"/>
      </w:pPr>
      <w:r>
        <w:t>Tourist Wallet intende perseguire due obiettivi:</w:t>
      </w:r>
    </w:p>
    <w:p w14:paraId="3A56C62F" w14:textId="662B5822" w:rsidR="00201A3E" w:rsidRDefault="00201A3E" w:rsidP="00B82498">
      <w:pPr>
        <w:pStyle w:val="Elenco1"/>
      </w:pPr>
      <w:r>
        <w:t>Realizzare soluzioni innovative per migliorare i processi aziendali del turismo (gestione del servizio e del cliente, vendita, marketing) attraverso tecnologie ICT</w:t>
      </w:r>
    </w:p>
    <w:p w14:paraId="2DFDC02F" w14:textId="27E0F3DC" w:rsidR="00201A3E" w:rsidRDefault="00201A3E" w:rsidP="00B82498">
      <w:pPr>
        <w:pStyle w:val="Elenco1"/>
      </w:pPr>
      <w:r>
        <w:t>Sviluppare soluzioni per lo sviluppo dell’immagine (</w:t>
      </w:r>
      <w:proofErr w:type="spellStart"/>
      <w:r>
        <w:t>reputation</w:t>
      </w:r>
      <w:proofErr w:type="spellEnd"/>
      <w:r>
        <w:t>) degli operatori di settore (alberghi, ristoranti, produttori di generi alimentari, produttori di olio e vino) con la creazione di una piattaforma per la gestione di Community, nelle quali si condivide un servizio o si offre un servizio/prodotto, i cui partecipanti sono sia gli acquirenti che i venditori del servizio/prodotto.</w:t>
      </w:r>
    </w:p>
    <w:p w14:paraId="159A335D" w14:textId="7BF7FAC9" w:rsidR="00201A3E" w:rsidRDefault="00201A3E" w:rsidP="00201A3E">
      <w:pPr>
        <w:spacing w:before="120" w:after="120"/>
      </w:pPr>
      <w:r>
        <w:t xml:space="preserve">Grazie alla tecnologia blockchain ed alla sua caratteristica di conservare traccia delle transazioni, è anche possibile studiare il comportamento degli utenti. I dati registrati possono essere condivisi tra tutti gli operatori di una certa località turistica, o analizzati complessivamente da un organismo governativo regionale. I dati potranno essere utilizzati per migliorare l’offerta al cliente e valutare il sistema turistico sulla base di appropriati indicatori, al fine di realizzare un piano di interventi atto a rispondere al meglio alle esigenze del turista. Inoltre, il sistema può rendere più trasparente l’affidabilità degli utenti, tale da garantire un’interazione tra i soggetti più consapevole; ancora, lo scambio di informazioni e valutazioni sul singolo fornitore di un servizio o prodotto (ristorante, albergo, produttore di genere alimentare) potrà contribuire fortemente a diffondere la conoscenza di tale fornitore, adottando meccanismi di “passa parola virtuale” con modalità paragonabili a quelle di siti quali </w:t>
      </w:r>
      <w:proofErr w:type="spellStart"/>
      <w:r>
        <w:t>TripAdvisor</w:t>
      </w:r>
      <w:proofErr w:type="spellEnd"/>
      <w:r>
        <w:t xml:space="preserve"> o </w:t>
      </w:r>
      <w:proofErr w:type="spellStart"/>
      <w:r>
        <w:t>TheFork</w:t>
      </w:r>
      <w:proofErr w:type="spellEnd"/>
      <w:r>
        <w:t xml:space="preserve"> ma rinforzate appunto dall’utilizzo congiunto delle tecnologie blockchain.</w:t>
      </w:r>
    </w:p>
    <w:p w14:paraId="58031F70" w14:textId="77777777" w:rsidR="00201A3E" w:rsidRDefault="00201A3E" w:rsidP="00201A3E">
      <w:pPr>
        <w:spacing w:before="120" w:after="120"/>
      </w:pPr>
      <w:r>
        <w:t xml:space="preserve">Il progetto Tourist Wallet intende implementare una piattaforma dalla duplice valenza: </w:t>
      </w:r>
      <w:proofErr w:type="spellStart"/>
      <w:r>
        <w:t>BtC</w:t>
      </w:r>
      <w:proofErr w:type="spellEnd"/>
      <w:r>
        <w:t xml:space="preserve"> e </w:t>
      </w:r>
      <w:proofErr w:type="spellStart"/>
      <w:r>
        <w:t>BtB</w:t>
      </w:r>
      <w:proofErr w:type="spellEnd"/>
      <w:r>
        <w:t xml:space="preserve">. Per quanto riguarda la valenza </w:t>
      </w:r>
      <w:proofErr w:type="spellStart"/>
      <w:r>
        <w:t>BtB</w:t>
      </w:r>
      <w:proofErr w:type="spellEnd"/>
      <w:r>
        <w:t xml:space="preserve">, il progetto </w:t>
      </w:r>
      <w:proofErr w:type="spellStart"/>
      <w:r>
        <w:t>Tourist</w:t>
      </w:r>
      <w:proofErr w:type="spellEnd"/>
      <w:r>
        <w:t xml:space="preserve"> Wallet è orientato verso le aziende del territorio, favorendo la creazione di una rete punti abilitati alla ricezione di pagamenti elettronici e di punti di deposito e prelievo di denaro contante, collegati tra loro tramite la tecnologia blockchain. Nella valenza </w:t>
      </w:r>
      <w:proofErr w:type="spellStart"/>
      <w:r>
        <w:t>BtC</w:t>
      </w:r>
      <w:proofErr w:type="spellEnd"/>
      <w:r>
        <w:t xml:space="preserve"> vengono favorite e amplificate </w:t>
      </w:r>
      <w:r>
        <w:lastRenderedPageBreak/>
        <w:t xml:space="preserve">le interazioni tra utenti/consumatori, con uno stile che ricorda quello dell’applicazione </w:t>
      </w:r>
      <w:proofErr w:type="spellStart"/>
      <w:r>
        <w:t>TripAdvisor</w:t>
      </w:r>
      <w:proofErr w:type="spellEnd"/>
      <w:r>
        <w:t xml:space="preserve"> ma che introduce il pagamento elettronico come segno di appartenenza e condivisione della Community di Tourist Wallet.</w:t>
      </w:r>
    </w:p>
    <w:p w14:paraId="0AD9E861" w14:textId="77777777" w:rsidR="00201A3E" w:rsidRDefault="00201A3E" w:rsidP="00201A3E">
      <w:pPr>
        <w:spacing w:before="120" w:after="120"/>
      </w:pPr>
      <w:r>
        <w:t>L’innovatività del progetto proposto permetterà al partenariato di diventare un riferimento di avanguardia nel settore del denaro elettronico utilizzato nel contesto turistico e al tempo stesso aprirà il Mercato del Turismo laziale a nuove forme e modalità, a tutto vantaggio dei “numeri”: di turisti, di profitti e di immagine/conoscenza per gli operatori del settore.</w:t>
      </w:r>
    </w:p>
    <w:p w14:paraId="6D82AC91" w14:textId="58AD5306" w:rsidR="006B0CA7" w:rsidRDefault="006B0CA7" w:rsidP="006B0CA7">
      <w:pPr>
        <w:spacing w:before="120" w:after="120"/>
      </w:pPr>
    </w:p>
    <w:p w14:paraId="31050783" w14:textId="77777777" w:rsidR="006D4DEC" w:rsidRDefault="006D4DEC" w:rsidP="006B0CA7">
      <w:pPr>
        <w:spacing w:before="120" w:after="120"/>
        <w:rPr>
          <w:b/>
        </w:rPr>
        <w:sectPr w:rsidR="006D4DEC" w:rsidSect="006B0CA7">
          <w:headerReference w:type="default" r:id="rId7"/>
          <w:pgSz w:w="16840" w:h="11900" w:orient="landscape"/>
          <w:pgMar w:top="1134" w:right="1417" w:bottom="1134" w:left="1134" w:header="708" w:footer="708" w:gutter="0"/>
          <w:cols w:space="708"/>
          <w:docGrid w:linePitch="360"/>
        </w:sectPr>
      </w:pPr>
    </w:p>
    <w:p w14:paraId="49233322" w14:textId="77777777" w:rsidR="006B0CA7" w:rsidRPr="00983263" w:rsidRDefault="006B0CA7" w:rsidP="006B0CA7">
      <w:pPr>
        <w:spacing w:before="120" w:after="120"/>
        <w:rPr>
          <w:b/>
        </w:rPr>
      </w:pPr>
      <w:r w:rsidRPr="00983263">
        <w:rPr>
          <w:b/>
        </w:rPr>
        <w:lastRenderedPageBreak/>
        <w:t>Partners:</w:t>
      </w:r>
    </w:p>
    <w:p w14:paraId="6E13E11F" w14:textId="39E0F180" w:rsidR="001F4AC6" w:rsidRDefault="00EC1509" w:rsidP="0043078E">
      <w:pPr>
        <w:pStyle w:val="BulletList"/>
      </w:pPr>
      <w:r>
        <w:t>MASHFROG</w:t>
      </w:r>
      <w:r w:rsidR="00882319">
        <w:t xml:space="preserve"> S.p.A.</w:t>
      </w:r>
      <w:r w:rsidR="008E1F07">
        <w:t xml:space="preserve"> Coordinatore di progetto - </w:t>
      </w:r>
      <w:r w:rsidR="001F4AC6">
        <w:t xml:space="preserve">Mashfrog group è una rete integrata di aziende specializzate nei diversi ambiti del business </w:t>
      </w:r>
      <w:proofErr w:type="spellStart"/>
      <w:proofErr w:type="gramStart"/>
      <w:r w:rsidR="001F4AC6">
        <w:t>digitale.La</w:t>
      </w:r>
      <w:proofErr w:type="spellEnd"/>
      <w:proofErr w:type="gramEnd"/>
      <w:r w:rsidR="001F4AC6">
        <w:t xml:space="preserve"> sua missione </w:t>
      </w:r>
      <w:proofErr w:type="spellStart"/>
      <w:r w:rsidR="001F4AC6">
        <w:t>missione</w:t>
      </w:r>
      <w:proofErr w:type="spellEnd"/>
      <w:r w:rsidR="001F4AC6">
        <w:t xml:space="preserve"> è andare oltre i paradigmi tecnologici e di comunicazione per creare modelli di business innovativi e disruptive.</w:t>
      </w:r>
      <w:r w:rsidR="008E1F07">
        <w:t xml:space="preserve"> </w:t>
      </w:r>
      <w:r w:rsidR="008E1F07" w:rsidRPr="008E1F07">
        <w:t>La decennale esperienza delle società che compongono il gruppo, le competenze dei professionisti che ci lavorano e la contaminazione quotidiana di conoscenze e specializzazioni realizzano un mix unico di creatività, strategia e tecnologia.</w:t>
      </w:r>
      <w:r w:rsidR="008E1F07">
        <w:br/>
      </w:r>
      <w:r w:rsidR="008E1F07" w:rsidRPr="008E1F07">
        <w:t>La MASHFROG</w:t>
      </w:r>
      <w:r w:rsidR="00820CE6">
        <w:t xml:space="preserve"> S.p.A. </w:t>
      </w:r>
      <w:r w:rsidR="008E1F07" w:rsidRPr="008E1F07">
        <w:t>aveva presentato una richiesta di finanziamento pari</w:t>
      </w:r>
      <w:r w:rsidR="008905D3">
        <w:t xml:space="preserve"> </w:t>
      </w:r>
      <w:r w:rsidR="008E1F07" w:rsidRPr="008E1F07">
        <w:t xml:space="preserve">a </w:t>
      </w:r>
      <w:proofErr w:type="spellStart"/>
      <w:r w:rsidR="008E1F07" w:rsidRPr="008E1F07">
        <w:t>a</w:t>
      </w:r>
      <w:proofErr w:type="spellEnd"/>
      <w:r w:rsidR="008E1F07" w:rsidRPr="008E1F07">
        <w:t xml:space="preserve"> € 442.445,00 per la quale richiedeva una sovvenzione di € 303.418,00. Dopo la valutazione effettuata da Lazio Innova la spesa ammessa a contributo è stata di € 278.896,83 pari ad una sovvenzione di € </w:t>
      </w:r>
      <w:r w:rsidR="008905D3">
        <w:rPr>
          <w:rFonts w:cs="Arial"/>
          <w:szCs w:val="22"/>
        </w:rPr>
        <w:t>169.329,30</w:t>
      </w:r>
    </w:p>
    <w:p w14:paraId="4B074567" w14:textId="77777777" w:rsidR="00E149C0" w:rsidRDefault="009D16F5" w:rsidP="00EE0B09">
      <w:pPr>
        <w:pStyle w:val="BulletList"/>
        <w:spacing w:before="0" w:after="0"/>
      </w:pPr>
      <w:r w:rsidRPr="00340DC1">
        <w:t>FOO</w:t>
      </w:r>
      <w:r w:rsidR="00EC1509" w:rsidRPr="00340DC1">
        <w:t>DIESTRIP</w:t>
      </w:r>
      <w:r w:rsidR="00CA147A" w:rsidRPr="00340DC1">
        <w:t xml:space="preserve"> S.R.L.,</w:t>
      </w:r>
      <w:r w:rsidR="00340DC1" w:rsidRPr="00340DC1">
        <w:t xml:space="preserve"> startup innovativa (https://www.foodiestrip.com) inscritta al MISE da Dicembre 2016. </w:t>
      </w:r>
      <w:r w:rsidR="00042985">
        <w:t>L’</w:t>
      </w:r>
      <w:r w:rsidR="00340DC1" w:rsidRPr="00042985">
        <w:t xml:space="preserve">ambito d’impresa è quella delle IOT (Internet of </w:t>
      </w:r>
      <w:proofErr w:type="spellStart"/>
      <w:r w:rsidR="00340DC1" w:rsidRPr="00042985">
        <w:t>Things</w:t>
      </w:r>
      <w:proofErr w:type="spellEnd"/>
      <w:r w:rsidR="00340DC1" w:rsidRPr="00042985">
        <w:t xml:space="preserve">), e la sfera di competenza comprende il settore ristorativo e quello della reputazione on-line delle più diverse attività che insistono </w:t>
      </w:r>
      <w:proofErr w:type="gramStart"/>
      <w:r w:rsidR="00340DC1" w:rsidRPr="00042985">
        <w:t>sul  mercato</w:t>
      </w:r>
      <w:proofErr w:type="gramEnd"/>
      <w:r w:rsidR="00340DC1" w:rsidRPr="00042985">
        <w:t xml:space="preserve"> del fuori casa. </w:t>
      </w:r>
      <w:proofErr w:type="spellStart"/>
      <w:r w:rsidR="00340DC1" w:rsidRPr="00042985">
        <w:t>FoodiesTrip</w:t>
      </w:r>
      <w:proofErr w:type="spellEnd"/>
      <w:r w:rsidR="00340DC1" w:rsidRPr="00042985">
        <w:t xml:space="preserve"> ha creato una piattaforma e </w:t>
      </w:r>
      <w:proofErr w:type="spellStart"/>
      <w:r w:rsidR="00340DC1" w:rsidRPr="00042985">
        <w:t>un’app</w:t>
      </w:r>
      <w:proofErr w:type="spellEnd"/>
      <w:r w:rsidR="00340DC1" w:rsidRPr="00042985">
        <w:t xml:space="preserve">, per mezzo delle quali riesce ad incidere profondamento sullo sviluppo del mercato recensivo on-line. </w:t>
      </w:r>
    </w:p>
    <w:p w14:paraId="2C907869" w14:textId="70FE5097" w:rsidR="00304E6C" w:rsidRDefault="00304E6C" w:rsidP="00EE0B09">
      <w:pPr>
        <w:pStyle w:val="BulletList"/>
        <w:numPr>
          <w:ilvl w:val="0"/>
          <w:numId w:val="0"/>
        </w:numPr>
        <w:spacing w:before="0" w:after="0"/>
        <w:ind w:left="1418"/>
      </w:pPr>
      <w:r w:rsidRPr="00102713">
        <w:t xml:space="preserve">La </w:t>
      </w:r>
      <w:r w:rsidR="009D16F5">
        <w:t>FOO</w:t>
      </w:r>
      <w:r w:rsidR="00EC1509">
        <w:t>DIESTRIP</w:t>
      </w:r>
      <w:r w:rsidR="00EC1509" w:rsidRPr="00CA147A">
        <w:t xml:space="preserve"> </w:t>
      </w:r>
      <w:r w:rsidRPr="00FF31F2">
        <w:t xml:space="preserve">S.R.L. aveva presentato una richiesta di finanziamento paria a € </w:t>
      </w:r>
      <w:r w:rsidR="00EC1509" w:rsidRPr="00EC1509">
        <w:t xml:space="preserve">331.250,00 </w:t>
      </w:r>
      <w:r w:rsidRPr="00FF31F2">
        <w:t xml:space="preserve">per la quale richiedeva una sovvenzione di € </w:t>
      </w:r>
      <w:r w:rsidR="00EC1509" w:rsidRPr="00EC1509">
        <w:t>242.950,00</w:t>
      </w:r>
      <w:r w:rsidRPr="00FF31F2">
        <w:t xml:space="preserve">. Dopo la valutazione effettuata da Lazio Innova la spesa ammessa a contributo riconosciuta è stata di € </w:t>
      </w:r>
      <w:r w:rsidR="00EC1509" w:rsidRPr="00EC1509">
        <w:t xml:space="preserve">204.319,88 </w:t>
      </w:r>
      <w:r w:rsidRPr="00FF31F2">
        <w:t xml:space="preserve">pari ad una sovvenzione di € </w:t>
      </w:r>
      <w:r w:rsidR="00EC1509" w:rsidRPr="00EC1509">
        <w:t>152.952,92</w:t>
      </w:r>
    </w:p>
    <w:p w14:paraId="1DAAE325" w14:textId="2A47EC1D" w:rsidR="006B0CA7" w:rsidRDefault="00983263" w:rsidP="0043078E">
      <w:pPr>
        <w:pStyle w:val="BulletList"/>
      </w:pPr>
      <w:r w:rsidRPr="00FB1178">
        <w:t xml:space="preserve">Dipartimento di </w:t>
      </w:r>
      <w:r w:rsidR="00CA147A" w:rsidRPr="00FB1178">
        <w:t xml:space="preserve">Ingegneria </w:t>
      </w:r>
      <w:r w:rsidR="00EC1509">
        <w:t>dell’Informazione</w:t>
      </w:r>
      <w:r w:rsidRPr="00FB1178">
        <w:t xml:space="preserve"> </w:t>
      </w:r>
      <w:proofErr w:type="gramStart"/>
      <w:r w:rsidRPr="00FB1178">
        <w:t>dell’ Università</w:t>
      </w:r>
      <w:proofErr w:type="gramEnd"/>
      <w:r w:rsidRPr="00FB1178">
        <w:t xml:space="preserve"> degli Studi di Roma Tor Vergata</w:t>
      </w:r>
      <w:r w:rsidR="00B062CC">
        <w:t xml:space="preserve"> (DII) </w:t>
      </w:r>
      <w:r w:rsidR="005E0E22">
        <w:t>–</w:t>
      </w:r>
      <w:r w:rsidR="00B062CC">
        <w:t xml:space="preserve"> </w:t>
      </w:r>
      <w:r w:rsidR="005E0E22">
        <w:t>a tale Dipartimento afferiscono professori e ricercatori che svolgono attività didattiche e scientifiche in diverse aree: Telecomunicazioni, Fisica Tecnica Ambientale, Impianti Industriali e Ingegneria Economico-Gestionale. Le competenze presenti nel DII coniugano le diverse componenti della cultura ingegneristica, ovvero la progettazione, la modellizzazione, l’adozione di metodi quantitativi, l’integrazione tra modelli teorici e verifica empirica, sia nell’ambito economico che organizzativo e tecnologico.</w:t>
      </w:r>
      <w:r w:rsidR="0043078E">
        <w:t xml:space="preserve"> </w:t>
      </w:r>
      <w:r w:rsidR="005E0E22">
        <w:t>Il DII è impegnato nella partecipazione a imprese spin-off che ritiene siano canali fondamentali per l’inserimento diretto delle realtà di ricerca nel tessuto produttivo in quanto maggiormente predisposti all’assorbimento di innovazioni messe a punto nei laboratori di ricerca</w:t>
      </w:r>
      <w:r w:rsidR="0043078E">
        <w:t>.</w:t>
      </w:r>
      <w:r w:rsidR="00FB1178" w:rsidRPr="00FF31F2">
        <w:br/>
      </w:r>
      <w:r w:rsidR="00102713" w:rsidRPr="00FF31F2">
        <w:t xml:space="preserve">Il </w:t>
      </w:r>
      <w:r w:rsidR="00FB1178" w:rsidRPr="00FF31F2">
        <w:t xml:space="preserve">Dipartimento di Ingegneria </w:t>
      </w:r>
      <w:r w:rsidR="00EC1509">
        <w:t>dell’Informazione</w:t>
      </w:r>
      <w:r w:rsidR="00FB1178" w:rsidRPr="00FF31F2">
        <w:t xml:space="preserve"> dell’ Università degli Studi di Roma Tor Vergata </w:t>
      </w:r>
      <w:r w:rsidR="00102713" w:rsidRPr="00FF31F2">
        <w:t xml:space="preserve">aveva presentato una richiesta di finanziamento paria a € </w:t>
      </w:r>
      <w:r w:rsidR="00EC1509" w:rsidRPr="00EC1509">
        <w:t xml:space="preserve">147.693,00 </w:t>
      </w:r>
      <w:r w:rsidR="00102713" w:rsidRPr="00FF31F2">
        <w:t xml:space="preserve">per la quale richiedeva una sovvenzione di € </w:t>
      </w:r>
      <w:r w:rsidR="00EC1509" w:rsidRPr="00EC1509">
        <w:t>118.154,40</w:t>
      </w:r>
      <w:r w:rsidR="00102713" w:rsidRPr="00FF31F2">
        <w:t xml:space="preserve">. Dopo la valutazione effettuata da Lazio Innova la spesa ammessa a contributo riconosciuta è stata di € </w:t>
      </w:r>
      <w:r w:rsidR="00EC1509" w:rsidRPr="00EC1509">
        <w:t xml:space="preserve">86.231,72 </w:t>
      </w:r>
      <w:r w:rsidR="00102713" w:rsidRPr="00FF31F2">
        <w:t xml:space="preserve">pari ad una sovvenzione di € </w:t>
      </w:r>
      <w:r w:rsidR="00EC1509" w:rsidRPr="00EC1509">
        <w:t>68.985,38</w:t>
      </w:r>
    </w:p>
    <w:p w14:paraId="320A9580" w14:textId="77777777" w:rsidR="006D4DEC" w:rsidRDefault="006D4DEC" w:rsidP="006B0CA7">
      <w:pPr>
        <w:spacing w:before="120" w:after="120"/>
        <w:rPr>
          <w:b/>
        </w:rPr>
        <w:sectPr w:rsidR="006D4DEC" w:rsidSect="006B0CA7">
          <w:pgSz w:w="16840" w:h="11900" w:orient="landscape"/>
          <w:pgMar w:top="1134" w:right="1417" w:bottom="1134" w:left="1134" w:header="708" w:footer="708" w:gutter="0"/>
          <w:cols w:space="708"/>
          <w:docGrid w:linePitch="360"/>
        </w:sectPr>
      </w:pPr>
    </w:p>
    <w:p w14:paraId="3FD8C55A" w14:textId="77777777" w:rsidR="006B0CA7" w:rsidRPr="006D4DEC" w:rsidRDefault="006B0CA7" w:rsidP="006B0CA7">
      <w:pPr>
        <w:spacing w:before="120" w:after="120"/>
        <w:rPr>
          <w:b/>
        </w:rPr>
      </w:pPr>
      <w:r w:rsidRPr="006D4DEC">
        <w:rPr>
          <w:b/>
        </w:rPr>
        <w:lastRenderedPageBreak/>
        <w:t>Finalità:</w:t>
      </w:r>
    </w:p>
    <w:p w14:paraId="6C9F7296" w14:textId="5CB95448" w:rsidR="00B82498" w:rsidRDefault="00B82498" w:rsidP="00B82498">
      <w:pPr>
        <w:pStyle w:val="Elenco1"/>
        <w:numPr>
          <w:ilvl w:val="0"/>
          <w:numId w:val="3"/>
        </w:numPr>
      </w:pPr>
      <w:r>
        <w:t>Realizzare soluzioni innovative per migliorare i processi aziendali del turismo (gestione del servizio e del cliente, vendita, marketing) attraverso tecnologie ICT.</w:t>
      </w:r>
      <w:r>
        <w:br/>
      </w:r>
      <w:r w:rsidRPr="00B82498">
        <w:t>Tourist Wallet implementa una soluzione innovativa con grandi potenzialità per le</w:t>
      </w:r>
      <w:r>
        <w:t xml:space="preserve"> aziende operanti nel turismo. </w:t>
      </w:r>
      <w:r w:rsidRPr="00B82498">
        <w:t xml:space="preserve">Lo scenario prevede la creazione di una rete di utenze business (ovvero le utenze presso le quali un utente consumer può depositare denaro contante sul suo conto Tourist Wallet, e di ritirarlo, previo il pagamento di una commissione) presso le località turistiche del Lazio. Il turista (che si configura come utente consumer) può usare il sistema di movimentazione del denaro Tourist Wallet sia al posto dei contanti che al posto della carta di credito o del bancomat. Per fare un esempio, gli hotel, i ristoranti, le attività commerciali possono arricchire la loro offerta, diventando utenti business del sistema. Il vantaggio per il turista è di grande valore in quanto questi può decidere di depositare il contante presso le strutture ricettive (o presso altre attività registrate come utenza business) per poi utilizzare comodamente il sistema digitale durante la sua permanenza. Inoltre, può contare sulle stesse attività commerciali registrate come utenza business per prelevare il denaro contante con estrema semplicità. Così il turista è libero di utilizzare il contante presso le attività non aderenti </w:t>
      </w:r>
      <w:proofErr w:type="gramStart"/>
      <w:r w:rsidRPr="00B82498">
        <w:t>ad</w:t>
      </w:r>
      <w:proofErr w:type="gramEnd"/>
      <w:r w:rsidRPr="00B82498">
        <w:t xml:space="preserve"> Tourist Wallet, come nel caso ad esempio gli esercenti appartenenti alla rete dei mercatini turistici spesso presenti in località turistiche ma che non hanno sistemi di pagamento digitale</w:t>
      </w:r>
    </w:p>
    <w:p w14:paraId="23621D29" w14:textId="18EA2111" w:rsidR="006D4DEC" w:rsidRDefault="00B82498" w:rsidP="00B82498">
      <w:pPr>
        <w:pStyle w:val="Elenco1"/>
        <w:numPr>
          <w:ilvl w:val="0"/>
          <w:numId w:val="3"/>
        </w:numPr>
      </w:pPr>
      <w:r>
        <w:t>Sviluppare soluzioni per lo sviluppo dell’immagine (</w:t>
      </w:r>
      <w:proofErr w:type="spellStart"/>
      <w:r>
        <w:t>reputation</w:t>
      </w:r>
      <w:proofErr w:type="spellEnd"/>
      <w:r>
        <w:t>) degli operatori di settore (alberghi, ristoranti, produttori di generi alimentari, produttori di olio e vino) con la creazione di una piattaforma per la gestione di Community, nelle quali si condivide un servizio o si offre un servizio/prodotto, i cui partecipanti sono sia gli acquirenti che i venditori del servizio/prodotto</w:t>
      </w:r>
      <w:r>
        <w:br/>
      </w:r>
      <w:r w:rsidRPr="00B82498">
        <w:t xml:space="preserve">Tourist Wallet si configura come rete di utenze consumer e business per realizzare un sistema di sharing economy. Grazie alla possibilità di trasferire il denaro elettronico da un utente consumer ad un altro, il sistema Tourist Wallet consente la semplificazione delle compravendite tra turisti e imprese locali aderenti al progetto (produttori agroalimentari, artigiani, B&amp;B e così via). Ad esempio, diverse attività possono decidere di condividere il borsellino Tourist Wallet in modo da avere una gestione unica e semplificata </w:t>
      </w:r>
      <w:r>
        <w:t>della movimentazione del denaro</w:t>
      </w:r>
    </w:p>
    <w:p w14:paraId="7934A331" w14:textId="77777777" w:rsidR="006D4DEC" w:rsidRDefault="006D4DEC" w:rsidP="006B0CA7">
      <w:pPr>
        <w:spacing w:before="120" w:after="120"/>
        <w:rPr>
          <w:b/>
        </w:rPr>
        <w:sectPr w:rsidR="006D4DEC" w:rsidSect="006B0CA7">
          <w:pgSz w:w="16840" w:h="11900" w:orient="landscape"/>
          <w:pgMar w:top="1134" w:right="1417" w:bottom="1134" w:left="1134" w:header="708" w:footer="708" w:gutter="0"/>
          <w:cols w:space="708"/>
          <w:docGrid w:linePitch="360"/>
        </w:sectPr>
      </w:pPr>
    </w:p>
    <w:p w14:paraId="1FDF4B43" w14:textId="77777777" w:rsidR="006B0CA7" w:rsidRPr="00983263" w:rsidRDefault="006B0CA7" w:rsidP="006B0CA7">
      <w:pPr>
        <w:spacing w:before="120" w:after="120"/>
        <w:rPr>
          <w:b/>
        </w:rPr>
      </w:pPr>
      <w:r w:rsidRPr="00983263">
        <w:rPr>
          <w:b/>
        </w:rPr>
        <w:lastRenderedPageBreak/>
        <w:t>Risultati:</w:t>
      </w:r>
    </w:p>
    <w:p w14:paraId="0CA7A59C" w14:textId="7AFDF75B" w:rsidR="00E63699" w:rsidRDefault="00E90608" w:rsidP="00E63699">
      <w:pPr>
        <w:spacing w:before="120" w:after="120"/>
      </w:pPr>
      <w:r>
        <w:t xml:space="preserve">Per raggiungere le finalità di progetto, il lavoro è stato suddiviso nei seguenti </w:t>
      </w:r>
      <w:r w:rsidR="00F83EFE">
        <w:t>obiettivi specifici</w:t>
      </w:r>
      <w:r w:rsidR="00E63699">
        <w:t xml:space="preserve"> (</w:t>
      </w:r>
      <w:r w:rsidR="00F83EFE">
        <w:t>OS</w:t>
      </w:r>
      <w:r w:rsidR="00E63699">
        <w:t>)</w:t>
      </w:r>
      <w:r>
        <w:t>:</w:t>
      </w:r>
    </w:p>
    <w:p w14:paraId="4DF39B14" w14:textId="586212EC" w:rsidR="00F83EFE" w:rsidRDefault="00F83EFE" w:rsidP="0043078E">
      <w:pPr>
        <w:pStyle w:val="BulletList"/>
      </w:pPr>
      <w:r w:rsidRPr="00F83EFE">
        <w:rPr>
          <w:b/>
        </w:rPr>
        <w:t xml:space="preserve">OS1: Studio del Mercato regionale degli operatori nel settore </w:t>
      </w:r>
      <w:proofErr w:type="spellStart"/>
      <w:r w:rsidRPr="00F83EFE">
        <w:rPr>
          <w:b/>
        </w:rPr>
        <w:t>AgriFood</w:t>
      </w:r>
      <w:proofErr w:type="spellEnd"/>
      <w:r w:rsidR="00E63699">
        <w:br/>
      </w:r>
      <w:r>
        <w:t xml:space="preserve">L’obiettivo specifico OS1 riguarda lo studio sullo stato dell’arte del mercato laziale in termini di numero, profilo e caratteristiche degli operatori di settore: ristoranti, alberghi, produttori di olio, produttori di vino, produzione artigianale, produttori a “chilometro zero”; lo studio sarà anche la fonte per lo sviluppo di un documento finalizzato alla definizione delle politiche di marketing e commerciali più opportune per favorire la conoscenza degli operatori stessi, aumentare il volume di affari e favorire la crescita occupazionale presso tali operatori. </w:t>
      </w:r>
      <w:r w:rsidRPr="00F83EFE">
        <w:t>L’OS1 sarà conseguito attraverso la realizzazione dei seguenti obiettivi operativi (OO):</w:t>
      </w:r>
    </w:p>
    <w:p w14:paraId="7F854567" w14:textId="457CCADD" w:rsidR="00F83EFE" w:rsidRDefault="00F83EFE" w:rsidP="0043078E">
      <w:pPr>
        <w:pStyle w:val="BulletList"/>
      </w:pPr>
      <w:r>
        <w:t>OO1.1 Analisi Mercato della ricettività alberghiera regionale</w:t>
      </w:r>
    </w:p>
    <w:p w14:paraId="36C48DF5" w14:textId="5F7F6609" w:rsidR="00F83EFE" w:rsidRDefault="00F83EFE" w:rsidP="0043078E">
      <w:pPr>
        <w:pStyle w:val="BulletList"/>
      </w:pPr>
      <w:r>
        <w:t>OO1.2 Analisi Mercato Ristorazione Alimentare regionale</w:t>
      </w:r>
    </w:p>
    <w:p w14:paraId="2D86CE7D" w14:textId="357A5ABC" w:rsidR="00F83EFE" w:rsidRDefault="00F83EFE" w:rsidP="0043078E">
      <w:pPr>
        <w:pStyle w:val="BulletList"/>
      </w:pPr>
      <w:r>
        <w:t>OO1.3 Definizione politiche di marketing e promozione commerciale</w:t>
      </w:r>
    </w:p>
    <w:p w14:paraId="12424A1C" w14:textId="0501EEC8" w:rsidR="00E63699" w:rsidRDefault="00F83EFE" w:rsidP="0043078E">
      <w:pPr>
        <w:pStyle w:val="BulletList"/>
      </w:pPr>
      <w:r w:rsidRPr="00F83EFE">
        <w:rPr>
          <w:b/>
        </w:rPr>
        <w:t>OS2: Studio delle tecnologie informatiche (con particolare attenzione alla tecnologia blockchain) e del dominio del progetto</w:t>
      </w:r>
      <w:r w:rsidR="00E63699">
        <w:br/>
      </w:r>
      <w:r w:rsidRPr="00F83EFE">
        <w:t>L’obiettivo specifico OS2 riguarda lo studio sullo stato dell’arte delle tecnologie informatiche che saranno adottate ai fini dell’implementazione dell’infrastruttura Tourist Wallet con conseguente analisi del dominio. Questo tenendo sempre in mente che si vorrà implementare un sistema innovativo di deposito, prelievo e trasferimento di denaro semplice e affidabile, che si deve discostare dalla concorrenza grazie alla possibilità offerta all’utenza consumer, di depositare e prelevare il denaro presso l’utenza business e che permette all’utenza business di diversificare i suoi ricavi grazie agli introiti generabili dal servizio offerto all’utenza consumer. A sua volta l’O21 sarà conseguito attraverso la realizzazione dei seguenti obiettivi operativi (OO):</w:t>
      </w:r>
    </w:p>
    <w:p w14:paraId="65801960" w14:textId="454E30A7" w:rsidR="00F83EFE" w:rsidRDefault="00F83EFE" w:rsidP="0043078E">
      <w:pPr>
        <w:pStyle w:val="BulletList"/>
      </w:pPr>
      <w:r>
        <w:t>OO2.1 Analisi dei requisiti delle componenti di front-end mobile per le utenze consumer</w:t>
      </w:r>
    </w:p>
    <w:p w14:paraId="7E5A6425" w14:textId="63AD462A" w:rsidR="00F83EFE" w:rsidRDefault="00F83EFE" w:rsidP="0043078E">
      <w:pPr>
        <w:pStyle w:val="BulletList"/>
      </w:pPr>
      <w:r>
        <w:t>OO2.2 Analisi dei requisiti della componente web per l’utenza business</w:t>
      </w:r>
    </w:p>
    <w:p w14:paraId="6CC0CB56" w14:textId="0969AEC0" w:rsidR="00F83EFE" w:rsidRDefault="00F83EFE" w:rsidP="0043078E">
      <w:pPr>
        <w:pStyle w:val="BulletList"/>
      </w:pPr>
      <w:r>
        <w:t>OO2.3 Analisi dei requisiti della componente web di controllo</w:t>
      </w:r>
    </w:p>
    <w:p w14:paraId="3B4591A9" w14:textId="3661A809" w:rsidR="00F83EFE" w:rsidRDefault="00F83EFE" w:rsidP="0043078E">
      <w:pPr>
        <w:pStyle w:val="BulletList"/>
      </w:pPr>
      <w:r>
        <w:t>OO2.4 Analisi dei requisiti della componente di back-end</w:t>
      </w:r>
    </w:p>
    <w:p w14:paraId="76F1DE20" w14:textId="5B782228" w:rsidR="00F83EFE" w:rsidRDefault="00F83EFE" w:rsidP="0043078E">
      <w:pPr>
        <w:pStyle w:val="BulletList"/>
      </w:pPr>
      <w:r>
        <w:lastRenderedPageBreak/>
        <w:t>OO2.5 Stato dell’arte e analisi del contesto dei sistemi blockchain applicati alla gestione del denaro elettronico</w:t>
      </w:r>
    </w:p>
    <w:p w14:paraId="37E37ABF" w14:textId="2AC33DE9" w:rsidR="00F83EFE" w:rsidRDefault="00F83EFE" w:rsidP="0043078E">
      <w:pPr>
        <w:pStyle w:val="BulletList"/>
      </w:pPr>
      <w:r>
        <w:t>OO2.6 Analisi dei requisiti per la blockchain</w:t>
      </w:r>
    </w:p>
    <w:p w14:paraId="2CE8B473" w14:textId="1F2AE445" w:rsidR="00F83EFE" w:rsidRDefault="00F83EFE" w:rsidP="0043078E">
      <w:pPr>
        <w:pStyle w:val="BulletList"/>
      </w:pPr>
      <w:r>
        <w:t>OO2.7 Analisi dei requisiti per la funzione rischio sulle transazioni</w:t>
      </w:r>
    </w:p>
    <w:p w14:paraId="765F690E" w14:textId="4B83EFA0" w:rsidR="00F83EFE" w:rsidRDefault="00F83EFE" w:rsidP="0043078E">
      <w:pPr>
        <w:pStyle w:val="BulletList"/>
      </w:pPr>
      <w:r>
        <w:t xml:space="preserve">OO1.8 </w:t>
      </w:r>
      <w:proofErr w:type="spellStart"/>
      <w:r>
        <w:t>Assessment</w:t>
      </w:r>
      <w:proofErr w:type="spellEnd"/>
      <w:r>
        <w:t xml:space="preserve"> della situazione normativa e della procedura di certificazione</w:t>
      </w:r>
    </w:p>
    <w:p w14:paraId="2ACAD01A" w14:textId="5484A6B7" w:rsidR="00E63699" w:rsidRDefault="00255BA6" w:rsidP="0043078E">
      <w:pPr>
        <w:pStyle w:val="BulletList"/>
      </w:pPr>
      <w:r w:rsidRPr="00255BA6">
        <w:rPr>
          <w:b/>
        </w:rPr>
        <w:t>OS3: Definizione delle specifiche tecniche della piattaforma software Tourist Wallet</w:t>
      </w:r>
      <w:r w:rsidR="00E63699">
        <w:br/>
      </w:r>
      <w:r w:rsidR="00DF5B20" w:rsidRPr="00DF5B20">
        <w:t>L’obiettivo specifico OS3 riguarda la definizione delle specifiche tecniche dell’infrastruttura Tourist Wallet che sarà conseguito attraverso i seguenti obiettivi operativi (OO):</w:t>
      </w:r>
    </w:p>
    <w:p w14:paraId="0A97F368" w14:textId="7F70A1D0" w:rsidR="00DF5B20" w:rsidRDefault="00DF5B20" w:rsidP="0043078E">
      <w:pPr>
        <w:pStyle w:val="BulletList"/>
      </w:pPr>
      <w:r>
        <w:t>OO3.1 Definizione specifiche tecniche componenti di front-end mobile per le utenze consumer</w:t>
      </w:r>
    </w:p>
    <w:p w14:paraId="026198A7" w14:textId="1EFC9C67" w:rsidR="00DF5B20" w:rsidRDefault="00DF5B20" w:rsidP="0043078E">
      <w:pPr>
        <w:pStyle w:val="BulletList"/>
      </w:pPr>
      <w:r>
        <w:t>OO3.2 Definizione specifiche tecniche componente web per l’utenza business</w:t>
      </w:r>
    </w:p>
    <w:p w14:paraId="7529F729" w14:textId="5C08EE5D" w:rsidR="00DF5B20" w:rsidRDefault="00DF5B20" w:rsidP="0043078E">
      <w:pPr>
        <w:pStyle w:val="BulletList"/>
      </w:pPr>
      <w:r>
        <w:t>OO3.3 Definizione specifiche tecniche componente web di controllo</w:t>
      </w:r>
    </w:p>
    <w:p w14:paraId="65FBDE73" w14:textId="5DAD428B" w:rsidR="00DF5B20" w:rsidRDefault="00DF5B20" w:rsidP="0043078E">
      <w:pPr>
        <w:pStyle w:val="BulletList"/>
      </w:pPr>
      <w:r>
        <w:t xml:space="preserve">OO3.4 Definizione specifiche tecniche componente di back-end </w:t>
      </w:r>
    </w:p>
    <w:p w14:paraId="0A91CA9B" w14:textId="5ADEC9C0" w:rsidR="00DF5B20" w:rsidRDefault="00DF5B20" w:rsidP="0043078E">
      <w:pPr>
        <w:pStyle w:val="BulletList"/>
      </w:pPr>
      <w:r>
        <w:t>OO3.5 Definizione piano di test componenti di front-end mobile per l’utenza consumer</w:t>
      </w:r>
    </w:p>
    <w:p w14:paraId="16165435" w14:textId="2FEEC33C" w:rsidR="00DF5B20" w:rsidRDefault="00DF5B20" w:rsidP="0043078E">
      <w:pPr>
        <w:pStyle w:val="BulletList"/>
      </w:pPr>
      <w:r>
        <w:t>OO3.6 Definizione piano di test componenti di front-end web per l’utenza business</w:t>
      </w:r>
    </w:p>
    <w:p w14:paraId="71A93C0F" w14:textId="75C4B1A1" w:rsidR="00DF5B20" w:rsidRDefault="00DF5B20" w:rsidP="0043078E">
      <w:pPr>
        <w:pStyle w:val="BulletList"/>
      </w:pPr>
      <w:r>
        <w:t>OO3.7 Definizione piano di test componenti di front-end web per il controllo</w:t>
      </w:r>
    </w:p>
    <w:p w14:paraId="0471FE3E" w14:textId="15DF6FB7" w:rsidR="00DF5B20" w:rsidRDefault="00DF5B20" w:rsidP="0043078E">
      <w:pPr>
        <w:pStyle w:val="BulletList"/>
      </w:pPr>
      <w:r>
        <w:t>OO3.8 Definizione piano di test componente di back-end</w:t>
      </w:r>
    </w:p>
    <w:p w14:paraId="24334E7E" w14:textId="37CD8DA2" w:rsidR="00DF5B20" w:rsidRDefault="00DF5B20" w:rsidP="0043078E">
      <w:pPr>
        <w:pStyle w:val="BulletList"/>
      </w:pPr>
      <w:r>
        <w:t>OO3.9 Definizione piano di test della piattaforma Tourist Wallet integrata</w:t>
      </w:r>
    </w:p>
    <w:p w14:paraId="5F56F391" w14:textId="63BF44A2" w:rsidR="00DF5B20" w:rsidRDefault="00DF5B20" w:rsidP="0043078E">
      <w:pPr>
        <w:pStyle w:val="BulletList"/>
      </w:pPr>
      <w:r>
        <w:t>OO3.10 Identificazione soluzione CRM da integrare</w:t>
      </w:r>
    </w:p>
    <w:p w14:paraId="25CAD992" w14:textId="3BB8F150" w:rsidR="00DF5B20" w:rsidRDefault="00DF5B20" w:rsidP="0043078E">
      <w:pPr>
        <w:pStyle w:val="BulletList"/>
      </w:pPr>
      <w:r>
        <w:t xml:space="preserve">OO3.11 Identificazione soluzione di customer </w:t>
      </w:r>
      <w:proofErr w:type="spellStart"/>
      <w:r>
        <w:t>caring</w:t>
      </w:r>
      <w:proofErr w:type="spellEnd"/>
      <w:r>
        <w:t xml:space="preserve"> da integrare</w:t>
      </w:r>
    </w:p>
    <w:p w14:paraId="72096BFC" w14:textId="410E6A92" w:rsidR="00DF5B20" w:rsidRDefault="00DF5B20" w:rsidP="0043078E">
      <w:pPr>
        <w:pStyle w:val="BulletList"/>
      </w:pPr>
      <w:r>
        <w:lastRenderedPageBreak/>
        <w:t>OO3.12 Identificazione soluzione di messaggistica massiva da integrare</w:t>
      </w:r>
    </w:p>
    <w:p w14:paraId="6E809A5B" w14:textId="611B3B14" w:rsidR="00DF5B20" w:rsidRDefault="00DF5B20" w:rsidP="0043078E">
      <w:pPr>
        <w:pStyle w:val="BulletList"/>
      </w:pPr>
      <w:r>
        <w:t>OO3.13 Definizione delle specifiche tecniche per la blockchain</w:t>
      </w:r>
    </w:p>
    <w:p w14:paraId="56AE7FFB" w14:textId="6CB65883" w:rsidR="00DF5B20" w:rsidRDefault="00DF5B20" w:rsidP="0043078E">
      <w:pPr>
        <w:pStyle w:val="BulletList"/>
      </w:pPr>
      <w:r>
        <w:t>OO3.14 Definizione delle specifiche di sicurezza informatica.</w:t>
      </w:r>
    </w:p>
    <w:p w14:paraId="46C33248" w14:textId="77777777" w:rsidR="00DF5B20" w:rsidRDefault="00DF5B20" w:rsidP="0043078E">
      <w:pPr>
        <w:pStyle w:val="BulletList"/>
      </w:pPr>
      <w:r w:rsidRPr="00DF5B20">
        <w:rPr>
          <w:b/>
        </w:rPr>
        <w:t xml:space="preserve">OS4: Realizzazione delle componenti e dell’interfaccia della piattaforma </w:t>
      </w:r>
      <w:proofErr w:type="spellStart"/>
      <w:r w:rsidRPr="00DF5B20">
        <w:rPr>
          <w:b/>
        </w:rPr>
        <w:t>Tourist</w:t>
      </w:r>
      <w:proofErr w:type="spellEnd"/>
      <w:r w:rsidRPr="00DF5B20">
        <w:rPr>
          <w:b/>
        </w:rPr>
        <w:t xml:space="preserve"> </w:t>
      </w:r>
      <w:proofErr w:type="spellStart"/>
      <w:r w:rsidRPr="00DF5B20">
        <w:rPr>
          <w:b/>
        </w:rPr>
        <w:t>Wallet</w:t>
      </w:r>
      <w:proofErr w:type="spellEnd"/>
      <w:r w:rsidR="00E63699">
        <w:br/>
      </w:r>
      <w:r>
        <w:t>L’OS4 sarà perseguito attraverso lo sviluppo vero e proprio delle componenti che andranno a costituire la piattaforma Tourist Wallet. Tale OS sarà realizzato attraverso i seguenti OO:</w:t>
      </w:r>
    </w:p>
    <w:p w14:paraId="496CDBA2" w14:textId="720C335C" w:rsidR="00DF5B20" w:rsidRDefault="00DF5B20" w:rsidP="0043078E">
      <w:pPr>
        <w:pStyle w:val="BulletList"/>
      </w:pPr>
      <w:r>
        <w:t xml:space="preserve">OO4.1 Realizzazione </w:t>
      </w:r>
      <w:proofErr w:type="gramStart"/>
      <w:r>
        <w:t>della componenti</w:t>
      </w:r>
      <w:proofErr w:type="gramEnd"/>
      <w:r>
        <w:t xml:space="preserve"> di front-end mobile Android e iOS per l’utenza consumer;</w:t>
      </w:r>
    </w:p>
    <w:p w14:paraId="7032A9C5" w14:textId="0390AB68" w:rsidR="00DF5B20" w:rsidRDefault="00DF5B20" w:rsidP="0043078E">
      <w:pPr>
        <w:pStyle w:val="BulletList"/>
      </w:pPr>
      <w:r>
        <w:t>OO4.2 Realizzazione delle componenti di front-end web per l’utenza business</w:t>
      </w:r>
    </w:p>
    <w:p w14:paraId="62A7D530" w14:textId="600C718C" w:rsidR="00DF5B20" w:rsidRDefault="00DF5B20" w:rsidP="0043078E">
      <w:pPr>
        <w:pStyle w:val="BulletList"/>
      </w:pPr>
      <w:r>
        <w:t>OO4.3 Realizzazione delle componenti di front-end web per il controllo</w:t>
      </w:r>
    </w:p>
    <w:p w14:paraId="5BAA7E8F" w14:textId="586CED9C" w:rsidR="00DF5B20" w:rsidRDefault="00DF5B20" w:rsidP="0043078E">
      <w:pPr>
        <w:pStyle w:val="BulletList"/>
      </w:pPr>
      <w:r>
        <w:t>OO4.4 Realizzazione della componente di back-end</w:t>
      </w:r>
    </w:p>
    <w:p w14:paraId="36C611E9" w14:textId="65E46D22" w:rsidR="00DF5B20" w:rsidRDefault="00DF5B20" w:rsidP="0043078E">
      <w:pPr>
        <w:pStyle w:val="BulletList"/>
      </w:pPr>
      <w:r>
        <w:t>OO4.5 Realizzazione delle interfacce (UX/UI)</w:t>
      </w:r>
    </w:p>
    <w:p w14:paraId="67A9E8F1" w14:textId="073BAE09" w:rsidR="00DF5B20" w:rsidRDefault="00DF5B20" w:rsidP="0043078E">
      <w:pPr>
        <w:pStyle w:val="BulletList"/>
      </w:pPr>
      <w:r>
        <w:t xml:space="preserve">OO4.6 Customizzazione e integrazione del CRM </w:t>
      </w:r>
    </w:p>
    <w:p w14:paraId="7C5A4275" w14:textId="17904C57" w:rsidR="00DF5B20" w:rsidRDefault="00DF5B20" w:rsidP="0043078E">
      <w:pPr>
        <w:pStyle w:val="BulletList"/>
      </w:pPr>
      <w:r>
        <w:t xml:space="preserve">OO4.7 Customizzazione e integrazione della soluzione di customer </w:t>
      </w:r>
      <w:proofErr w:type="spellStart"/>
      <w:r>
        <w:t>caring</w:t>
      </w:r>
      <w:proofErr w:type="spellEnd"/>
      <w:r>
        <w:t xml:space="preserve"> </w:t>
      </w:r>
    </w:p>
    <w:p w14:paraId="2DB48BB3" w14:textId="15CD5A82" w:rsidR="00DF5B20" w:rsidRDefault="00DF5B20" w:rsidP="0043078E">
      <w:pPr>
        <w:pStyle w:val="BulletList"/>
      </w:pPr>
      <w:r>
        <w:t xml:space="preserve">OO4.8 Customizzazione e integrazione della soluzione di messaggistica massiva  </w:t>
      </w:r>
    </w:p>
    <w:p w14:paraId="02601BFC" w14:textId="0215E9D9" w:rsidR="00DF5B20" w:rsidRDefault="00DF5B20" w:rsidP="0043078E">
      <w:pPr>
        <w:pStyle w:val="BulletList"/>
      </w:pPr>
      <w:r>
        <w:t>OO4.9 Realizzazione dell’interfaccia tra componente back-end e blockchain</w:t>
      </w:r>
    </w:p>
    <w:p w14:paraId="3C1E50BD" w14:textId="1DB8DB4A" w:rsidR="00DF5B20" w:rsidRDefault="00DF5B20" w:rsidP="0043078E">
      <w:pPr>
        <w:pStyle w:val="BulletList"/>
      </w:pPr>
      <w:r>
        <w:t xml:space="preserve">OO4.10 Realizzazione degli smart </w:t>
      </w:r>
      <w:proofErr w:type="spellStart"/>
      <w:r>
        <w:t>contract</w:t>
      </w:r>
      <w:proofErr w:type="spellEnd"/>
      <w:r>
        <w:t xml:space="preserve"> per blockchain</w:t>
      </w:r>
    </w:p>
    <w:p w14:paraId="71C77C88" w14:textId="77777777" w:rsidR="00320A25" w:rsidRDefault="00320A25" w:rsidP="0043078E">
      <w:pPr>
        <w:pStyle w:val="BulletList"/>
      </w:pPr>
      <w:r w:rsidRPr="00320A25">
        <w:rPr>
          <w:b/>
        </w:rPr>
        <w:t>OS5: Testing Validazione e Promozione della piattaforma Tourist Wallet</w:t>
      </w:r>
      <w:r w:rsidR="00E63699">
        <w:br/>
      </w:r>
      <w:r>
        <w:t xml:space="preserve">L’obiettivo specifico consiste nella validazione dell’infrastruttura in conformità ai requisiti individuati e nel suggerire ulteriori </w:t>
      </w:r>
      <w:r>
        <w:lastRenderedPageBreak/>
        <w:t xml:space="preserve">possibilità di sfruttamento dell’infrastruttura. Tale OS </w:t>
      </w:r>
      <w:proofErr w:type="gramStart"/>
      <w:r>
        <w:t>sarà perseguito</w:t>
      </w:r>
      <w:proofErr w:type="gramEnd"/>
      <w:r>
        <w:t xml:space="preserve"> attraverso l’esecuzione dei piani di test sulle differenti componenti ai fini della validazione della piattaforma implementata in relazione ai seguenti OO:</w:t>
      </w:r>
    </w:p>
    <w:p w14:paraId="0D017089" w14:textId="66878EEC" w:rsidR="00320A25" w:rsidRDefault="00320A25" w:rsidP="0043078E">
      <w:pPr>
        <w:pStyle w:val="BulletList"/>
      </w:pPr>
      <w:r>
        <w:t>OO5.1 Validazione componenti di front-end mobile per l’utenza consumer</w:t>
      </w:r>
    </w:p>
    <w:p w14:paraId="0B46E674" w14:textId="2F1D7181" w:rsidR="00320A25" w:rsidRDefault="00320A25" w:rsidP="0043078E">
      <w:pPr>
        <w:pStyle w:val="BulletList"/>
      </w:pPr>
      <w:r>
        <w:t>OO5.2 Validazione componenti di front-end web per l’utenza business</w:t>
      </w:r>
    </w:p>
    <w:p w14:paraId="3A03A9D6" w14:textId="179820A8" w:rsidR="00320A25" w:rsidRDefault="00320A25" w:rsidP="0043078E">
      <w:pPr>
        <w:pStyle w:val="BulletList"/>
      </w:pPr>
      <w:r>
        <w:t>OO5.3 Validazione componenti di front-end web per il controllo</w:t>
      </w:r>
    </w:p>
    <w:p w14:paraId="39974B56" w14:textId="422988C0" w:rsidR="00320A25" w:rsidRDefault="00320A25" w:rsidP="0043078E">
      <w:pPr>
        <w:pStyle w:val="BulletList"/>
      </w:pPr>
      <w:r>
        <w:t>OO5.4 Validazione componente di back-end</w:t>
      </w:r>
    </w:p>
    <w:p w14:paraId="7C31FEDA" w14:textId="4E6FFEAC" w:rsidR="00320A25" w:rsidRDefault="00320A25" w:rsidP="0043078E">
      <w:pPr>
        <w:pStyle w:val="BulletList"/>
      </w:pPr>
      <w:r>
        <w:t>OO5.5 Validazione componente su blockchain.</w:t>
      </w:r>
    </w:p>
    <w:p w14:paraId="250ADE85" w14:textId="3989ECEB" w:rsidR="00320A25" w:rsidRDefault="00320A25" w:rsidP="0043078E">
      <w:pPr>
        <w:pStyle w:val="BulletList"/>
      </w:pPr>
      <w:r>
        <w:t>O5.6 Validazione (presso utenti pilota) e Promozione della piattaforma Tourist Wallet</w:t>
      </w:r>
    </w:p>
    <w:p w14:paraId="2950198A" w14:textId="7B52C471" w:rsidR="00983263" w:rsidRDefault="00983263" w:rsidP="00320A25"/>
    <w:p w14:paraId="1A206BA1" w14:textId="77777777" w:rsidR="006D4DEC" w:rsidRDefault="006D4DEC" w:rsidP="006B0CA7">
      <w:pPr>
        <w:spacing w:before="120" w:after="120"/>
        <w:rPr>
          <w:b/>
        </w:rPr>
        <w:sectPr w:rsidR="006D4DEC" w:rsidSect="006B0CA7">
          <w:pgSz w:w="16840" w:h="11900" w:orient="landscape"/>
          <w:pgMar w:top="1134" w:right="1417" w:bottom="1134" w:left="1134" w:header="708" w:footer="708" w:gutter="0"/>
          <w:cols w:space="708"/>
          <w:docGrid w:linePitch="360"/>
        </w:sectPr>
      </w:pPr>
    </w:p>
    <w:p w14:paraId="00F0993B" w14:textId="77777777" w:rsidR="006B0CA7" w:rsidRDefault="006B0CA7" w:rsidP="006B0CA7">
      <w:pPr>
        <w:spacing w:before="120" w:after="120"/>
        <w:rPr>
          <w:b/>
        </w:rPr>
      </w:pPr>
      <w:r w:rsidRPr="00983263">
        <w:rPr>
          <w:b/>
        </w:rPr>
        <w:lastRenderedPageBreak/>
        <w:t>Sostegno finanziario ricevuto:</w:t>
      </w:r>
    </w:p>
    <w:p w14:paraId="29331499" w14:textId="36D6CF0B" w:rsidR="00983263" w:rsidRDefault="00983263" w:rsidP="00983263">
      <w:r>
        <w:t xml:space="preserve">La proposta di progetto </w:t>
      </w:r>
      <w:r w:rsidR="00AB2517">
        <w:t>Tourist Wallet</w:t>
      </w:r>
      <w:r>
        <w:t xml:space="preserve"> è stata presentata il </w:t>
      </w:r>
      <w:r w:rsidR="00AB2517">
        <w:t>23/01/2018</w:t>
      </w:r>
      <w:r w:rsidR="00FC3539" w:rsidRPr="00FC3539">
        <w:t xml:space="preserve"> </w:t>
      </w:r>
      <w:r>
        <w:t xml:space="preserve">con numero di protocollo </w:t>
      </w:r>
      <w:r w:rsidR="00AB2517" w:rsidRPr="00AB2517">
        <w:t xml:space="preserve">A0199-2018-17511 </w:t>
      </w:r>
      <w:r w:rsidR="00290BDE" w:rsidRPr="00290BDE">
        <w:t>sull’ Avviso Pubblico “Beni Culturali e Turismo” di cui alla Determinazione n. G16395 del 28/11/2017 – POR FESR LAZIO 2014 – 2020</w:t>
      </w:r>
      <w:r w:rsidR="001708EB" w:rsidRPr="001708EB">
        <w:t xml:space="preserve"> – Progetti integrati</w:t>
      </w:r>
      <w:r w:rsidR="00102713">
        <w:t>.</w:t>
      </w:r>
    </w:p>
    <w:p w14:paraId="4C7809FD" w14:textId="6035D7FF" w:rsidR="00C90D1B" w:rsidRDefault="00C90D1B" w:rsidP="00102713">
      <w:r>
        <w:t>C</w:t>
      </w:r>
      <w:r w:rsidRPr="00C90D1B">
        <w:t>on Determinazione n. G09836 del 18/07/2019 pubblicata sul BURL n. 60 del 25/07/2019</w:t>
      </w:r>
      <w:r w:rsidR="00EE2A89">
        <w:t xml:space="preserve">, </w:t>
      </w:r>
      <w:r w:rsidRPr="00C90D1B">
        <w:t xml:space="preserve">il Direttore della Direzione Regionale per lo Sviluppo Economico, le Attività Produttive e il Lazio Creativo, ha preso atto degli esiti delle valutazioni effettuate dalla Commissione di Valutazione che nella seduta del 12/11/2018 ha approvato </w:t>
      </w:r>
      <w:r w:rsidR="001708EB" w:rsidRPr="001708EB">
        <w:t xml:space="preserve">ha approvato </w:t>
      </w:r>
      <w:r w:rsidR="00102713">
        <w:t xml:space="preserve">il progetto </w:t>
      </w:r>
      <w:r>
        <w:t>Tourist Wallet</w:t>
      </w:r>
      <w:r w:rsidR="00102713">
        <w:t xml:space="preserve"> e la </w:t>
      </w:r>
      <w:r w:rsidR="00983263">
        <w:t xml:space="preserve">relativa </w:t>
      </w:r>
      <w:r w:rsidR="00102713">
        <w:t>s</w:t>
      </w:r>
      <w:r w:rsidR="00983263">
        <w:t>ovvenzione</w:t>
      </w:r>
      <w:r>
        <w:t>, assegnandogli i seguenti</w:t>
      </w:r>
      <w:r w:rsidR="00102713">
        <w:t xml:space="preserve"> CUP</w:t>
      </w:r>
      <w:r>
        <w:t>:</w:t>
      </w:r>
    </w:p>
    <w:p w14:paraId="2663E52F" w14:textId="3BACE597" w:rsidR="00C90D1B" w:rsidRDefault="00C90D1B" w:rsidP="00E16EBA">
      <w:pPr>
        <w:pStyle w:val="Paragrafoelenco"/>
        <w:numPr>
          <w:ilvl w:val="0"/>
          <w:numId w:val="4"/>
        </w:numPr>
      </w:pPr>
      <w:r>
        <w:t xml:space="preserve">MASHFROG SPA F83D19000110006 </w:t>
      </w:r>
    </w:p>
    <w:p w14:paraId="615BFBB0" w14:textId="17FB7CAE" w:rsidR="00C90D1B" w:rsidRDefault="00C90D1B" w:rsidP="00E16EBA">
      <w:pPr>
        <w:pStyle w:val="Paragrafoelenco"/>
        <w:numPr>
          <w:ilvl w:val="0"/>
          <w:numId w:val="4"/>
        </w:numPr>
      </w:pPr>
      <w:r>
        <w:t>FOODIESTRIP S</w:t>
      </w:r>
      <w:r w:rsidR="00E16EBA">
        <w:t>R</w:t>
      </w:r>
      <w:r>
        <w:t xml:space="preserve">L F95F19000260006 </w:t>
      </w:r>
    </w:p>
    <w:p w14:paraId="20D370F2" w14:textId="1CCA6147" w:rsidR="00C90D1B" w:rsidRDefault="00C90D1B" w:rsidP="00E16EBA">
      <w:pPr>
        <w:pStyle w:val="Paragrafoelenco"/>
        <w:numPr>
          <w:ilvl w:val="0"/>
          <w:numId w:val="4"/>
        </w:numPr>
      </w:pPr>
      <w:r>
        <w:t xml:space="preserve">Dipartimento di </w:t>
      </w:r>
      <w:r w:rsidR="00E16EBA">
        <w:t>I</w:t>
      </w:r>
      <w:r>
        <w:t xml:space="preserve">ngegneria dell’Informazione dell’Università di Roma Tor Vergata: E84I19001600003 </w:t>
      </w:r>
    </w:p>
    <w:p w14:paraId="27A9F2D9" w14:textId="64F5023E" w:rsidR="00983263" w:rsidRDefault="00983263" w:rsidP="00102713">
      <w:r w:rsidRPr="00C21C5D">
        <w:t>.</w:t>
      </w:r>
    </w:p>
    <w:p w14:paraId="3DD635D4" w14:textId="0CAC4B79" w:rsidR="00102713" w:rsidRDefault="00102713" w:rsidP="00102713">
      <w:r>
        <w:t>Di seguito riportiamo il dettaglio della sovvenzione totale concessa</w:t>
      </w:r>
      <w:r w:rsidR="00EE2A89">
        <w:t xml:space="preserve"> a seguito di modifiche intervenute successivamente alla determina di approvazione</w:t>
      </w:r>
      <w:r w:rsidR="001708EB">
        <w:t>.</w:t>
      </w:r>
    </w:p>
    <w:p w14:paraId="5DDBD0AE" w14:textId="77777777" w:rsidR="00102713" w:rsidRDefault="00102713" w:rsidP="00102713"/>
    <w:tbl>
      <w:tblPr>
        <w:tblW w:w="14026" w:type="dxa"/>
        <w:jc w:val="center"/>
        <w:tblBorders>
          <w:insideH w:val="single" w:sz="18" w:space="0" w:color="FFFFFF"/>
          <w:insideV w:val="single" w:sz="18" w:space="0" w:color="FFFFFF"/>
        </w:tblBorders>
        <w:tblLayout w:type="fixed"/>
        <w:tblLook w:val="04A0" w:firstRow="1" w:lastRow="0" w:firstColumn="1" w:lastColumn="0" w:noHBand="0" w:noVBand="1"/>
      </w:tblPr>
      <w:tblGrid>
        <w:gridCol w:w="5114"/>
        <w:gridCol w:w="4646"/>
        <w:gridCol w:w="1777"/>
        <w:gridCol w:w="2489"/>
      </w:tblGrid>
      <w:tr w:rsidR="006D4DEC" w:rsidRPr="00284B2D" w14:paraId="0AB45A7B" w14:textId="77777777" w:rsidTr="006D4DEC">
        <w:trPr>
          <w:trHeight w:val="240"/>
          <w:tblHeader/>
          <w:jc w:val="center"/>
        </w:trPr>
        <w:tc>
          <w:tcPr>
            <w:tcW w:w="5114" w:type="dxa"/>
            <w:shd w:val="clear" w:color="auto" w:fill="F2F2F2"/>
            <w:noWrap/>
            <w:vAlign w:val="center"/>
          </w:tcPr>
          <w:p w14:paraId="629ED655" w14:textId="77777777" w:rsidR="009620F3" w:rsidRPr="00284B2D" w:rsidRDefault="009620F3" w:rsidP="00255BA6">
            <w:pPr>
              <w:jc w:val="center"/>
              <w:rPr>
                <w:rFonts w:ascii="Calibri" w:eastAsia="Times New Roman" w:hAnsi="Calibri"/>
                <w:b/>
                <w:bCs/>
                <w:color w:val="000000"/>
              </w:rPr>
            </w:pPr>
            <w:r w:rsidRPr="00284B2D">
              <w:rPr>
                <w:rFonts w:ascii="Calibri" w:eastAsia="Times New Roman" w:hAnsi="Calibri" w:cs="Arial"/>
                <w:b/>
                <w:bCs/>
                <w:color w:val="000000"/>
              </w:rPr>
              <w:t>Tipologia di investimento</w:t>
            </w:r>
          </w:p>
        </w:tc>
        <w:tc>
          <w:tcPr>
            <w:tcW w:w="4646" w:type="dxa"/>
            <w:shd w:val="clear" w:color="auto" w:fill="F2F2F2"/>
            <w:vAlign w:val="center"/>
          </w:tcPr>
          <w:p w14:paraId="02915BD7"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Riferimento Normativo</w:t>
            </w:r>
          </w:p>
        </w:tc>
        <w:tc>
          <w:tcPr>
            <w:tcW w:w="1777" w:type="dxa"/>
            <w:shd w:val="clear" w:color="auto" w:fill="F2F2F2"/>
            <w:vAlign w:val="center"/>
          </w:tcPr>
          <w:p w14:paraId="1D7CFC3B"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SPESA</w:t>
            </w:r>
          </w:p>
          <w:p w14:paraId="5EE534F5"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AMMESSA</w:t>
            </w:r>
          </w:p>
          <w:p w14:paraId="1A2D7D76"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(in EURO)</w:t>
            </w:r>
          </w:p>
        </w:tc>
        <w:tc>
          <w:tcPr>
            <w:tcW w:w="2489" w:type="dxa"/>
            <w:shd w:val="clear" w:color="auto" w:fill="F2F2F2"/>
            <w:noWrap/>
            <w:vAlign w:val="center"/>
          </w:tcPr>
          <w:p w14:paraId="5E32E544"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SOVVENZIONE</w:t>
            </w:r>
          </w:p>
          <w:p w14:paraId="619253E4"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CONCESSA</w:t>
            </w:r>
          </w:p>
          <w:p w14:paraId="45A94B23" w14:textId="77777777" w:rsidR="009620F3" w:rsidRPr="00284B2D" w:rsidRDefault="009620F3" w:rsidP="00255BA6">
            <w:pPr>
              <w:jc w:val="center"/>
              <w:rPr>
                <w:rFonts w:ascii="Calibri" w:eastAsia="Times New Roman" w:hAnsi="Calibri" w:cs="Arial"/>
                <w:b/>
                <w:bCs/>
                <w:color w:val="000000"/>
              </w:rPr>
            </w:pPr>
            <w:r w:rsidRPr="00284B2D">
              <w:rPr>
                <w:rFonts w:ascii="Calibri" w:eastAsia="Times New Roman" w:hAnsi="Calibri" w:cs="Arial"/>
                <w:b/>
                <w:bCs/>
                <w:color w:val="000000"/>
              </w:rPr>
              <w:t>(in EURO)</w:t>
            </w:r>
          </w:p>
        </w:tc>
      </w:tr>
      <w:tr w:rsidR="006D4DEC" w:rsidRPr="00284B2D" w:rsidDel="00FE04BB" w14:paraId="4EB57CD1" w14:textId="77777777" w:rsidTr="006D4DEC">
        <w:trPr>
          <w:trHeight w:val="498"/>
          <w:jc w:val="center"/>
        </w:trPr>
        <w:tc>
          <w:tcPr>
            <w:tcW w:w="5114" w:type="dxa"/>
            <w:shd w:val="clear" w:color="auto" w:fill="FFFFFF"/>
            <w:noWrap/>
            <w:vAlign w:val="center"/>
          </w:tcPr>
          <w:p w14:paraId="43FFCF37" w14:textId="77777777" w:rsidR="009620F3" w:rsidRPr="00284B2D" w:rsidRDefault="009620F3" w:rsidP="00255BA6">
            <w:pPr>
              <w:spacing w:after="160" w:line="259" w:lineRule="auto"/>
              <w:rPr>
                <w:rFonts w:ascii="Calibri" w:eastAsia="Times New Roman" w:hAnsi="Calibri" w:cs="Calibri"/>
                <w:b/>
                <w:bCs/>
                <w:color w:val="000000"/>
                <w:sz w:val="18"/>
                <w:szCs w:val="18"/>
              </w:rPr>
            </w:pPr>
            <w:r w:rsidRPr="00284B2D">
              <w:rPr>
                <w:rFonts w:ascii="Calibri" w:eastAsia="Times New Roman" w:hAnsi="Calibri" w:cs="Calibri"/>
                <w:b/>
                <w:bCs/>
                <w:color w:val="000000"/>
                <w:sz w:val="18"/>
                <w:szCs w:val="18"/>
              </w:rPr>
              <w:t xml:space="preserve">B1 - Attività RSI-Progetti RSI (Ricerca Industriale) in effettiva collaborazione tra imprese o fra un'impresa ed un </w:t>
            </w:r>
            <w:proofErr w:type="spellStart"/>
            <w:r w:rsidRPr="00284B2D">
              <w:rPr>
                <w:rFonts w:ascii="Calibri" w:eastAsia="Times New Roman" w:hAnsi="Calibri" w:cs="Calibri"/>
                <w:b/>
                <w:bCs/>
                <w:color w:val="000000"/>
                <w:sz w:val="18"/>
                <w:szCs w:val="18"/>
              </w:rPr>
              <w:t>OdR</w:t>
            </w:r>
            <w:proofErr w:type="spellEnd"/>
          </w:p>
        </w:tc>
        <w:tc>
          <w:tcPr>
            <w:tcW w:w="4646" w:type="dxa"/>
            <w:shd w:val="clear" w:color="auto" w:fill="FFFFFF"/>
            <w:vAlign w:val="center"/>
          </w:tcPr>
          <w:p w14:paraId="47BD431A" w14:textId="77777777" w:rsidR="009620F3" w:rsidRPr="00284B2D" w:rsidRDefault="009620F3" w:rsidP="00255BA6">
            <w:pPr>
              <w:spacing w:after="160" w:line="259" w:lineRule="auto"/>
              <w:rPr>
                <w:rFonts w:ascii="Calibri" w:eastAsia="Times New Roman" w:hAnsi="Calibri" w:cs="Calibri"/>
                <w:b/>
                <w:bCs/>
                <w:sz w:val="18"/>
                <w:szCs w:val="18"/>
              </w:rPr>
            </w:pPr>
            <w:r w:rsidRPr="00284B2D">
              <w:rPr>
                <w:rFonts w:ascii="Calibri" w:eastAsia="Times New Roman" w:hAnsi="Calibri" w:cs="Calibri"/>
                <w:b/>
                <w:bCs/>
                <w:sz w:val="18"/>
                <w:szCs w:val="18"/>
              </w:rPr>
              <w:t xml:space="preserve">Ricerca industriale Reg. </w:t>
            </w:r>
            <w:r w:rsidRPr="00284B2D">
              <w:rPr>
                <w:rFonts w:ascii="Calibri" w:eastAsia="Times New Roman" w:hAnsi="Calibri" w:cs="Calibri"/>
                <w:b/>
                <w:bCs/>
                <w:color w:val="000000"/>
                <w:sz w:val="18"/>
                <w:szCs w:val="18"/>
              </w:rPr>
              <w:t xml:space="preserve">(UE) </w:t>
            </w:r>
            <w:r w:rsidRPr="00284B2D">
              <w:rPr>
                <w:rFonts w:ascii="Calibri" w:eastAsia="Times New Roman" w:hAnsi="Calibri" w:cs="Calibri"/>
                <w:b/>
                <w:bCs/>
                <w:sz w:val="18"/>
                <w:szCs w:val="18"/>
              </w:rPr>
              <w:t>n. 651/2014, Art. 25 5 b e 6 b</w:t>
            </w:r>
          </w:p>
        </w:tc>
        <w:tc>
          <w:tcPr>
            <w:tcW w:w="1777" w:type="dxa"/>
            <w:shd w:val="clear" w:color="auto" w:fill="FFFFFF"/>
            <w:vAlign w:val="center"/>
          </w:tcPr>
          <w:p w14:paraId="42C41948" w14:textId="3D9FC64E" w:rsidR="009620F3" w:rsidRPr="00284B2D" w:rsidRDefault="00E16EBA" w:rsidP="00255BA6">
            <w:pPr>
              <w:tabs>
                <w:tab w:val="right" w:pos="10080"/>
              </w:tabs>
              <w:ind w:right="-1"/>
              <w:jc w:val="center"/>
              <w:rPr>
                <w:rFonts w:ascii="Calibri" w:eastAsia="Times New Roman" w:hAnsi="Calibri"/>
                <w:b/>
                <w:color w:val="000000"/>
              </w:rPr>
            </w:pPr>
            <w:r w:rsidRPr="00E16EBA">
              <w:rPr>
                <w:rFonts w:ascii="Calibri" w:eastAsia="Times New Roman" w:hAnsi="Calibri"/>
                <w:b/>
                <w:color w:val="000000"/>
              </w:rPr>
              <w:t>328.727,98</w:t>
            </w:r>
          </w:p>
        </w:tc>
        <w:tc>
          <w:tcPr>
            <w:tcW w:w="2489" w:type="dxa"/>
            <w:shd w:val="clear" w:color="auto" w:fill="FFFFFF"/>
            <w:noWrap/>
            <w:vAlign w:val="center"/>
          </w:tcPr>
          <w:p w14:paraId="780ABB04" w14:textId="61BEC773" w:rsidR="009620F3" w:rsidRPr="00284B2D" w:rsidRDefault="00EE2A89" w:rsidP="00255BA6">
            <w:pPr>
              <w:tabs>
                <w:tab w:val="right" w:pos="10080"/>
              </w:tabs>
              <w:ind w:right="-1"/>
              <w:jc w:val="center"/>
              <w:rPr>
                <w:rFonts w:ascii="Calibri" w:eastAsia="Times New Roman" w:hAnsi="Calibri" w:cs="Calibri"/>
                <w:b/>
                <w:color w:val="000000"/>
              </w:rPr>
            </w:pPr>
            <w:r w:rsidRPr="00EE2A89">
              <w:rPr>
                <w:rFonts w:ascii="Calibri" w:eastAsia="Times New Roman" w:hAnsi="Calibri" w:cs="Calibri"/>
                <w:b/>
                <w:color w:val="000000"/>
              </w:rPr>
              <w:t>257.006,21</w:t>
            </w:r>
          </w:p>
        </w:tc>
      </w:tr>
      <w:tr w:rsidR="006D4DEC" w:rsidRPr="00284B2D" w:rsidDel="00FE04BB" w14:paraId="3F41D343" w14:textId="77777777" w:rsidTr="006D4DEC">
        <w:trPr>
          <w:trHeight w:val="498"/>
          <w:jc w:val="center"/>
        </w:trPr>
        <w:tc>
          <w:tcPr>
            <w:tcW w:w="5114" w:type="dxa"/>
            <w:shd w:val="clear" w:color="auto" w:fill="FFFFFF"/>
            <w:noWrap/>
            <w:vAlign w:val="center"/>
          </w:tcPr>
          <w:p w14:paraId="562665ED" w14:textId="35C51AC7" w:rsidR="009620F3" w:rsidRPr="00284B2D" w:rsidRDefault="009620F3" w:rsidP="00255BA6">
            <w:pPr>
              <w:spacing w:after="160" w:line="259" w:lineRule="auto"/>
              <w:rPr>
                <w:rFonts w:ascii="Calibri" w:eastAsia="Times New Roman" w:hAnsi="Calibri" w:cs="Calibri"/>
                <w:b/>
                <w:bCs/>
                <w:color w:val="000000"/>
                <w:sz w:val="18"/>
                <w:szCs w:val="18"/>
              </w:rPr>
            </w:pPr>
            <w:r w:rsidRPr="00284B2D">
              <w:rPr>
                <w:rFonts w:ascii="Calibri" w:eastAsia="Times New Roman" w:hAnsi="Calibri" w:cs="Calibri"/>
                <w:b/>
                <w:bCs/>
                <w:color w:val="000000"/>
                <w:sz w:val="18"/>
                <w:szCs w:val="18"/>
              </w:rPr>
              <w:t>B2 - Attività RSI-Progetti RSI (Sviluppo Sperimentale) effettiva collaborazione tra imp</w:t>
            </w:r>
            <w:r>
              <w:rPr>
                <w:rFonts w:ascii="Calibri" w:eastAsia="Times New Roman" w:hAnsi="Calibri" w:cs="Calibri"/>
                <w:b/>
                <w:bCs/>
                <w:color w:val="000000"/>
                <w:sz w:val="18"/>
                <w:szCs w:val="18"/>
              </w:rPr>
              <w:t xml:space="preserve">rese o fra un'impresa ed un </w:t>
            </w:r>
            <w:proofErr w:type="spellStart"/>
            <w:r>
              <w:rPr>
                <w:rFonts w:ascii="Calibri" w:eastAsia="Times New Roman" w:hAnsi="Calibri" w:cs="Calibri"/>
                <w:b/>
                <w:bCs/>
                <w:color w:val="000000"/>
                <w:sz w:val="18"/>
                <w:szCs w:val="18"/>
              </w:rPr>
              <w:t>OdR</w:t>
            </w:r>
            <w:proofErr w:type="spellEnd"/>
          </w:p>
        </w:tc>
        <w:tc>
          <w:tcPr>
            <w:tcW w:w="4646" w:type="dxa"/>
            <w:shd w:val="clear" w:color="auto" w:fill="FFFFFF"/>
            <w:vAlign w:val="center"/>
          </w:tcPr>
          <w:p w14:paraId="0B758B29" w14:textId="6EDA695E" w:rsidR="009620F3" w:rsidRPr="00284B2D" w:rsidRDefault="009620F3" w:rsidP="00255BA6">
            <w:pPr>
              <w:spacing w:after="160" w:line="259" w:lineRule="auto"/>
              <w:rPr>
                <w:rFonts w:ascii="Calibri" w:eastAsia="Times New Roman" w:hAnsi="Calibri" w:cs="Calibri"/>
                <w:b/>
                <w:bCs/>
                <w:sz w:val="18"/>
                <w:szCs w:val="18"/>
              </w:rPr>
            </w:pPr>
            <w:r w:rsidRPr="00284B2D">
              <w:rPr>
                <w:rFonts w:ascii="Calibri" w:eastAsia="Times New Roman" w:hAnsi="Calibri" w:cs="Calibri"/>
                <w:b/>
                <w:bCs/>
                <w:sz w:val="18"/>
                <w:szCs w:val="18"/>
              </w:rPr>
              <w:t xml:space="preserve">Sviluppo Sperimentale Reg. </w:t>
            </w:r>
            <w:r w:rsidRPr="00284B2D">
              <w:rPr>
                <w:rFonts w:ascii="Calibri" w:eastAsia="Times New Roman" w:hAnsi="Calibri" w:cs="Calibri"/>
                <w:b/>
                <w:bCs/>
                <w:color w:val="000000"/>
                <w:sz w:val="18"/>
                <w:szCs w:val="18"/>
              </w:rPr>
              <w:t xml:space="preserve">(UE) </w:t>
            </w:r>
            <w:r w:rsidRPr="00284B2D">
              <w:rPr>
                <w:rFonts w:ascii="Calibri" w:eastAsia="Times New Roman" w:hAnsi="Calibri" w:cs="Calibri"/>
                <w:b/>
                <w:bCs/>
                <w:sz w:val="18"/>
                <w:szCs w:val="18"/>
              </w:rPr>
              <w:t>n. 651/2014, Art. 25 5 c e 6 b</w:t>
            </w:r>
          </w:p>
        </w:tc>
        <w:tc>
          <w:tcPr>
            <w:tcW w:w="1777" w:type="dxa"/>
            <w:shd w:val="clear" w:color="auto" w:fill="FFFFFF"/>
            <w:vAlign w:val="center"/>
          </w:tcPr>
          <w:p w14:paraId="375FFB08" w14:textId="727ADFD9" w:rsidR="009620F3" w:rsidRDefault="00E16EBA" w:rsidP="00255BA6">
            <w:pPr>
              <w:tabs>
                <w:tab w:val="right" w:pos="10080"/>
              </w:tabs>
              <w:ind w:right="-1"/>
              <w:jc w:val="center"/>
              <w:rPr>
                <w:rFonts w:ascii="Calibri" w:eastAsia="Times New Roman" w:hAnsi="Calibri"/>
                <w:b/>
                <w:color w:val="000000"/>
              </w:rPr>
            </w:pPr>
            <w:r w:rsidRPr="00E16EBA">
              <w:rPr>
                <w:rFonts w:ascii="Calibri" w:eastAsia="Times New Roman" w:hAnsi="Calibri"/>
                <w:b/>
                <w:color w:val="000000"/>
              </w:rPr>
              <w:t>240.720,45</w:t>
            </w:r>
          </w:p>
          <w:p w14:paraId="4856C37C" w14:textId="4C093D00" w:rsidR="009620F3" w:rsidRPr="00284B2D" w:rsidRDefault="009620F3" w:rsidP="00E16EBA">
            <w:pPr>
              <w:tabs>
                <w:tab w:val="right" w:pos="10080"/>
              </w:tabs>
              <w:ind w:right="-1"/>
              <w:rPr>
                <w:rFonts w:ascii="Calibri" w:eastAsia="Times New Roman" w:hAnsi="Calibri"/>
                <w:b/>
                <w:color w:val="000000"/>
              </w:rPr>
            </w:pPr>
          </w:p>
        </w:tc>
        <w:tc>
          <w:tcPr>
            <w:tcW w:w="2489" w:type="dxa"/>
            <w:shd w:val="clear" w:color="auto" w:fill="FFFFFF"/>
            <w:noWrap/>
            <w:vAlign w:val="center"/>
          </w:tcPr>
          <w:p w14:paraId="5B96B244" w14:textId="2CB04FB4" w:rsidR="009620F3" w:rsidRPr="00284B2D" w:rsidRDefault="00EE2A89" w:rsidP="000626AD">
            <w:pPr>
              <w:tabs>
                <w:tab w:val="right" w:pos="10080"/>
              </w:tabs>
              <w:ind w:right="-1"/>
              <w:jc w:val="center"/>
              <w:rPr>
                <w:rFonts w:ascii="Calibri" w:eastAsia="Times New Roman" w:hAnsi="Calibri" w:cs="Calibri"/>
                <w:b/>
                <w:color w:val="000000"/>
              </w:rPr>
            </w:pPr>
            <w:r w:rsidRPr="00EE2A89">
              <w:rPr>
                <w:rFonts w:ascii="Calibri" w:eastAsia="Times New Roman" w:hAnsi="Calibri" w:cs="Calibri"/>
                <w:b/>
                <w:color w:val="000000"/>
              </w:rPr>
              <w:t>134.261,39</w:t>
            </w:r>
          </w:p>
        </w:tc>
      </w:tr>
      <w:tr w:rsidR="006D4DEC" w:rsidRPr="00284B2D" w14:paraId="23075555" w14:textId="77777777" w:rsidTr="006D4DEC">
        <w:trPr>
          <w:trHeight w:val="567"/>
          <w:jc w:val="center"/>
        </w:trPr>
        <w:tc>
          <w:tcPr>
            <w:tcW w:w="5114" w:type="dxa"/>
            <w:shd w:val="pct5" w:color="000000" w:fill="FFFFFF"/>
            <w:noWrap/>
            <w:vAlign w:val="center"/>
          </w:tcPr>
          <w:p w14:paraId="5B529525" w14:textId="77777777" w:rsidR="009620F3" w:rsidRPr="00284B2D" w:rsidRDefault="009620F3" w:rsidP="00255BA6">
            <w:pPr>
              <w:tabs>
                <w:tab w:val="right" w:pos="10080"/>
              </w:tabs>
              <w:ind w:right="-1"/>
              <w:jc w:val="center"/>
              <w:rPr>
                <w:rFonts w:ascii="Calibri" w:eastAsia="Times New Roman" w:hAnsi="Calibri"/>
                <w:b/>
                <w:snapToGrid w:val="0"/>
                <w:color w:val="000000"/>
              </w:rPr>
            </w:pPr>
            <w:r w:rsidRPr="00284B2D">
              <w:rPr>
                <w:rFonts w:ascii="Calibri" w:eastAsia="Times New Roman" w:hAnsi="Calibri"/>
                <w:b/>
                <w:snapToGrid w:val="0"/>
                <w:color w:val="000000"/>
              </w:rPr>
              <w:t>Totale complessivo</w:t>
            </w:r>
          </w:p>
        </w:tc>
        <w:tc>
          <w:tcPr>
            <w:tcW w:w="4646" w:type="dxa"/>
            <w:shd w:val="pct5" w:color="000000" w:fill="FFFFFF"/>
          </w:tcPr>
          <w:p w14:paraId="0A308430" w14:textId="77777777" w:rsidR="009620F3" w:rsidRPr="00284B2D" w:rsidRDefault="009620F3" w:rsidP="00255BA6">
            <w:pPr>
              <w:tabs>
                <w:tab w:val="right" w:pos="10080"/>
              </w:tabs>
              <w:ind w:right="-1"/>
              <w:jc w:val="center"/>
              <w:rPr>
                <w:rFonts w:ascii="Calibri" w:eastAsia="Times New Roman" w:hAnsi="Calibri"/>
                <w:b/>
                <w:snapToGrid w:val="0"/>
                <w:color w:val="000000"/>
              </w:rPr>
            </w:pPr>
          </w:p>
        </w:tc>
        <w:tc>
          <w:tcPr>
            <w:tcW w:w="1777" w:type="dxa"/>
            <w:shd w:val="pct5" w:color="000000" w:fill="FFFFFF"/>
            <w:vAlign w:val="center"/>
          </w:tcPr>
          <w:p w14:paraId="024BCD74" w14:textId="31F238DF" w:rsidR="009620F3" w:rsidRPr="00284B2D" w:rsidRDefault="00E16EBA" w:rsidP="00255BA6">
            <w:pPr>
              <w:tabs>
                <w:tab w:val="right" w:pos="10080"/>
              </w:tabs>
              <w:ind w:right="-1"/>
              <w:jc w:val="center"/>
              <w:rPr>
                <w:rFonts w:ascii="Calibri" w:eastAsia="Times New Roman" w:hAnsi="Calibri"/>
                <w:b/>
                <w:snapToGrid w:val="0"/>
                <w:color w:val="000000"/>
              </w:rPr>
            </w:pPr>
            <w:r w:rsidRPr="00E16EBA">
              <w:rPr>
                <w:rFonts w:ascii="Calibri" w:eastAsia="Times New Roman" w:hAnsi="Calibri"/>
                <w:b/>
                <w:snapToGrid w:val="0"/>
                <w:color w:val="000000"/>
              </w:rPr>
              <w:t>569.448,43</w:t>
            </w:r>
          </w:p>
        </w:tc>
        <w:tc>
          <w:tcPr>
            <w:tcW w:w="2489" w:type="dxa"/>
            <w:shd w:val="pct5" w:color="000000" w:fill="FFFFFF"/>
            <w:noWrap/>
            <w:vAlign w:val="center"/>
          </w:tcPr>
          <w:p w14:paraId="31158E78" w14:textId="0270B14A" w:rsidR="009620F3" w:rsidRPr="00284B2D" w:rsidRDefault="00EE2A89" w:rsidP="00255BA6">
            <w:pPr>
              <w:tabs>
                <w:tab w:val="right" w:pos="10080"/>
              </w:tabs>
              <w:ind w:right="-1"/>
              <w:jc w:val="center"/>
              <w:rPr>
                <w:rFonts w:ascii="Calibri" w:eastAsia="Times New Roman" w:hAnsi="Calibri"/>
                <w:b/>
                <w:snapToGrid w:val="0"/>
                <w:color w:val="000000"/>
              </w:rPr>
            </w:pPr>
            <w:r w:rsidRPr="00EE2A89">
              <w:rPr>
                <w:rFonts w:ascii="Calibri" w:eastAsia="Times New Roman" w:hAnsi="Calibri"/>
                <w:b/>
                <w:snapToGrid w:val="0"/>
                <w:color w:val="000000"/>
              </w:rPr>
              <w:t>391.267,60</w:t>
            </w:r>
          </w:p>
        </w:tc>
      </w:tr>
    </w:tbl>
    <w:p w14:paraId="6B617026" w14:textId="77777777" w:rsidR="009620F3" w:rsidRDefault="009620F3" w:rsidP="006D4DEC">
      <w:pPr>
        <w:rPr>
          <w:rFonts w:ascii="Calibri" w:hAnsi="Calibri"/>
          <w:b/>
        </w:rPr>
      </w:pPr>
    </w:p>
    <w:sectPr w:rsidR="009620F3" w:rsidSect="006B0CA7">
      <w:pgSz w:w="16840" w:h="11900"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7074C" w14:textId="77777777" w:rsidR="00455837" w:rsidRDefault="00455837" w:rsidP="006B0CA7">
      <w:r>
        <w:separator/>
      </w:r>
    </w:p>
  </w:endnote>
  <w:endnote w:type="continuationSeparator" w:id="0">
    <w:p w14:paraId="4CEB4FF2" w14:textId="77777777" w:rsidR="00455837" w:rsidRDefault="00455837" w:rsidP="006B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1DF1AB" w14:textId="77777777" w:rsidR="00455837" w:rsidRDefault="00455837" w:rsidP="006B0CA7">
      <w:r>
        <w:separator/>
      </w:r>
    </w:p>
  </w:footnote>
  <w:footnote w:type="continuationSeparator" w:id="0">
    <w:p w14:paraId="367064FD" w14:textId="77777777" w:rsidR="00455837" w:rsidRDefault="00455837" w:rsidP="006B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4"/>
      <w:gridCol w:w="7215"/>
    </w:tblGrid>
    <w:tr w:rsidR="00C90D1B" w14:paraId="205848CB" w14:textId="77777777" w:rsidTr="006B0CA7">
      <w:tc>
        <w:tcPr>
          <w:tcW w:w="7214" w:type="dxa"/>
        </w:tcPr>
        <w:tbl>
          <w:tblPr>
            <w:tblStyle w:val="Grigliatabella"/>
            <w:tblW w:w="0" w:type="auto"/>
            <w:tblLook w:val="04A0" w:firstRow="1" w:lastRow="0" w:firstColumn="1" w:lastColumn="0" w:noHBand="0" w:noVBand="1"/>
          </w:tblPr>
          <w:tblGrid>
            <w:gridCol w:w="1980"/>
          </w:tblGrid>
          <w:tr w:rsidR="00C90D1B" w14:paraId="1C75C147" w14:textId="77777777" w:rsidTr="00201A3E">
            <w:trPr>
              <w:trHeight w:val="1408"/>
            </w:trPr>
            <w:tc>
              <w:tcPr>
                <w:tcW w:w="1980" w:type="dxa"/>
                <w:vAlign w:val="center"/>
              </w:tcPr>
              <w:p w14:paraId="3C4E21DC" w14:textId="2C579A72" w:rsidR="00C90D1B" w:rsidRDefault="00D47DD3" w:rsidP="00201A3E">
                <w:pPr>
                  <w:pStyle w:val="Figure"/>
                </w:pPr>
                <w:r>
                  <w:rPr>
                    <w:noProof/>
                  </w:rPr>
                  <w:drawing>
                    <wp:inline distT="0" distB="0" distL="0" distR="0" wp14:anchorId="37CCC11C" wp14:editId="70E00858">
                      <wp:extent cx="745857" cy="7810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urist_wallet.png"/>
                              <pic:cNvPicPr/>
                            </pic:nvPicPr>
                            <pic:blipFill>
                              <a:blip r:embed="rId1"/>
                              <a:stretch>
                                <a:fillRect/>
                              </a:stretch>
                            </pic:blipFill>
                            <pic:spPr>
                              <a:xfrm>
                                <a:off x="0" y="0"/>
                                <a:ext cx="768377" cy="804633"/>
                              </a:xfrm>
                              <a:prstGeom prst="rect">
                                <a:avLst/>
                              </a:prstGeom>
                            </pic:spPr>
                          </pic:pic>
                        </a:graphicData>
                      </a:graphic>
                    </wp:inline>
                  </w:drawing>
                </w:r>
                <w:r w:rsidR="00C90D1B">
                  <w:t>Logo</w:t>
                </w:r>
              </w:p>
            </w:tc>
          </w:tr>
        </w:tbl>
        <w:p w14:paraId="08FB9A8A" w14:textId="28AEEA90" w:rsidR="00C90D1B" w:rsidRDefault="00C90D1B" w:rsidP="006B0CA7">
          <w:pPr>
            <w:pStyle w:val="Intestazione"/>
          </w:pPr>
        </w:p>
      </w:tc>
      <w:tc>
        <w:tcPr>
          <w:tcW w:w="7215" w:type="dxa"/>
        </w:tcPr>
        <w:p w14:paraId="37645D33" w14:textId="77777777" w:rsidR="00C90D1B" w:rsidRDefault="00C90D1B" w:rsidP="006B0CA7">
          <w:pPr>
            <w:pStyle w:val="Intestazione"/>
            <w:jc w:val="right"/>
          </w:pPr>
          <w:r>
            <w:rPr>
              <w:noProof/>
            </w:rPr>
            <w:drawing>
              <wp:inline distT="0" distB="0" distL="0" distR="0" wp14:anchorId="2CCEA370" wp14:editId="0E60BF88">
                <wp:extent cx="4263666" cy="931557"/>
                <wp:effectExtent l="0" t="0" r="3810" b="825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66020" cy="932071"/>
                        </a:xfrm>
                        <a:prstGeom prst="rect">
                          <a:avLst/>
                        </a:prstGeom>
                        <a:noFill/>
                        <a:ln>
                          <a:noFill/>
                        </a:ln>
                      </pic:spPr>
                    </pic:pic>
                  </a:graphicData>
                </a:graphic>
              </wp:inline>
            </w:drawing>
          </w:r>
        </w:p>
      </w:tc>
    </w:tr>
  </w:tbl>
  <w:p w14:paraId="75ED505C" w14:textId="77777777" w:rsidR="00C90D1B" w:rsidRDefault="00C90D1B" w:rsidP="006B0C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7116"/>
    <w:multiLevelType w:val="hybridMultilevel"/>
    <w:tmpl w:val="C10C5AFC"/>
    <w:lvl w:ilvl="0" w:tplc="CB9E095A">
      <w:start w:val="1"/>
      <w:numFmt w:val="bullet"/>
      <w:lvlText w:val="o"/>
      <w:lvlJc w:val="left"/>
      <w:pPr>
        <w:ind w:left="2520" w:hanging="360"/>
      </w:pPr>
      <w:rPr>
        <w:rFonts w:ascii="Courier New" w:hAnsi="Courier New" w:hint="default"/>
      </w:rPr>
    </w:lvl>
    <w:lvl w:ilvl="1" w:tplc="0A34BFF2">
      <w:start w:val="1"/>
      <w:numFmt w:val="bullet"/>
      <w:pStyle w:val="BulletLis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92574D0"/>
    <w:multiLevelType w:val="hybridMultilevel"/>
    <w:tmpl w:val="673E2530"/>
    <w:lvl w:ilvl="0" w:tplc="2ED873D4">
      <w:start w:val="1"/>
      <w:numFmt w:val="decimal"/>
      <w:pStyle w:val="Elenco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EA3F7D"/>
    <w:multiLevelType w:val="hybridMultilevel"/>
    <w:tmpl w:val="E46470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FB2C4B"/>
    <w:multiLevelType w:val="hybridMultilevel"/>
    <w:tmpl w:val="A44A29FA"/>
    <w:lvl w:ilvl="0" w:tplc="046E6B4E">
      <w:start w:val="1"/>
      <w:numFmt w:val="bullet"/>
      <w:lvlText w:val=""/>
      <w:lvlJc w:val="left"/>
      <w:pPr>
        <w:ind w:left="720" w:hanging="360"/>
      </w:pPr>
      <w:rPr>
        <w:rFonts w:ascii="Symbol" w:hAnsi="Symbol" w:hint="default"/>
      </w:rPr>
    </w:lvl>
    <w:lvl w:ilvl="1" w:tplc="CB9E095A">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lvlOverride w:ilvl="0">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CA7"/>
    <w:rsid w:val="00042985"/>
    <w:rsid w:val="000626AD"/>
    <w:rsid w:val="000C628D"/>
    <w:rsid w:val="000D14F9"/>
    <w:rsid w:val="00102713"/>
    <w:rsid w:val="00152175"/>
    <w:rsid w:val="00155E84"/>
    <w:rsid w:val="001708EB"/>
    <w:rsid w:val="001827BE"/>
    <w:rsid w:val="001C1F0F"/>
    <w:rsid w:val="001F4AC6"/>
    <w:rsid w:val="00201A3E"/>
    <w:rsid w:val="00255BA6"/>
    <w:rsid w:val="002818CE"/>
    <w:rsid w:val="00290BDE"/>
    <w:rsid w:val="00304E6C"/>
    <w:rsid w:val="00320A25"/>
    <w:rsid w:val="00340DC1"/>
    <w:rsid w:val="00344214"/>
    <w:rsid w:val="0043078E"/>
    <w:rsid w:val="00455837"/>
    <w:rsid w:val="004D0620"/>
    <w:rsid w:val="00587C75"/>
    <w:rsid w:val="005E0E22"/>
    <w:rsid w:val="006B0CA7"/>
    <w:rsid w:val="006D4DEC"/>
    <w:rsid w:val="007B0C94"/>
    <w:rsid w:val="007F6419"/>
    <w:rsid w:val="00820CE6"/>
    <w:rsid w:val="008553C0"/>
    <w:rsid w:val="00882319"/>
    <w:rsid w:val="008905D3"/>
    <w:rsid w:val="008E1F07"/>
    <w:rsid w:val="00922FF0"/>
    <w:rsid w:val="009620F3"/>
    <w:rsid w:val="00983263"/>
    <w:rsid w:val="009D16F5"/>
    <w:rsid w:val="00A01A00"/>
    <w:rsid w:val="00A375E8"/>
    <w:rsid w:val="00AB2517"/>
    <w:rsid w:val="00B062CC"/>
    <w:rsid w:val="00B10504"/>
    <w:rsid w:val="00B82498"/>
    <w:rsid w:val="00C059CA"/>
    <w:rsid w:val="00C813CD"/>
    <w:rsid w:val="00C90D1B"/>
    <w:rsid w:val="00CA147A"/>
    <w:rsid w:val="00D04ECC"/>
    <w:rsid w:val="00D47DD3"/>
    <w:rsid w:val="00D70D00"/>
    <w:rsid w:val="00DA2108"/>
    <w:rsid w:val="00DD4BE2"/>
    <w:rsid w:val="00DE6AF5"/>
    <w:rsid w:val="00DF5B20"/>
    <w:rsid w:val="00E149C0"/>
    <w:rsid w:val="00E16EBA"/>
    <w:rsid w:val="00E63699"/>
    <w:rsid w:val="00E90608"/>
    <w:rsid w:val="00EC1509"/>
    <w:rsid w:val="00EE0B09"/>
    <w:rsid w:val="00EE2A89"/>
    <w:rsid w:val="00EE4D1A"/>
    <w:rsid w:val="00F77DE3"/>
    <w:rsid w:val="00F83EFE"/>
    <w:rsid w:val="00FB1178"/>
    <w:rsid w:val="00FC3539"/>
    <w:rsid w:val="00FF31F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BF7AD0"/>
  <w14:defaultImageDpi w14:val="300"/>
  <w15:docId w15:val="{80CE5BF6-DD03-4D2F-A512-CA5B10DD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587C75"/>
    <w:pPr>
      <w:jc w:val="both"/>
    </w:pPr>
    <w:rPr>
      <w:rFonts w:ascii="Arial" w:hAnsi="Arial"/>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gure">
    <w:name w:val="Figure"/>
    <w:basedOn w:val="Normale"/>
    <w:next w:val="Normale"/>
    <w:autoRedefine/>
    <w:qFormat/>
    <w:rsid w:val="00201A3E"/>
    <w:pPr>
      <w:spacing w:before="120" w:after="120"/>
      <w:jc w:val="center"/>
    </w:pPr>
    <w:rPr>
      <w:color w:val="9BBB59" w:themeColor="accent3"/>
    </w:rPr>
  </w:style>
  <w:style w:type="paragraph" w:customStyle="1" w:styleId="Didascalia1">
    <w:name w:val="Didascalia1"/>
    <w:basedOn w:val="Normale"/>
    <w:next w:val="Normale"/>
    <w:autoRedefine/>
    <w:qFormat/>
    <w:rsid w:val="00587C75"/>
    <w:pPr>
      <w:spacing w:before="120" w:after="120"/>
      <w:jc w:val="center"/>
    </w:pPr>
    <w:rPr>
      <w:b/>
      <w:color w:val="800000"/>
    </w:rPr>
  </w:style>
  <w:style w:type="paragraph" w:customStyle="1" w:styleId="BulletList">
    <w:name w:val="Bullet List"/>
    <w:basedOn w:val="Normale"/>
    <w:next w:val="Normale"/>
    <w:autoRedefine/>
    <w:qFormat/>
    <w:rsid w:val="0043078E"/>
    <w:pPr>
      <w:numPr>
        <w:ilvl w:val="1"/>
        <w:numId w:val="5"/>
      </w:numPr>
      <w:spacing w:before="240" w:after="240"/>
      <w:ind w:left="1418" w:hanging="567"/>
      <w:jc w:val="left"/>
    </w:pPr>
  </w:style>
  <w:style w:type="paragraph" w:customStyle="1" w:styleId="Elenco1">
    <w:name w:val="Elenco1"/>
    <w:basedOn w:val="Normale"/>
    <w:next w:val="Normale"/>
    <w:autoRedefine/>
    <w:qFormat/>
    <w:rsid w:val="00B82498"/>
    <w:pPr>
      <w:numPr>
        <w:numId w:val="2"/>
      </w:numPr>
      <w:spacing w:before="120" w:after="120"/>
      <w:jc w:val="left"/>
    </w:pPr>
  </w:style>
  <w:style w:type="paragraph" w:customStyle="1" w:styleId="Tablestyle">
    <w:name w:val="Table style"/>
    <w:basedOn w:val="Normale"/>
    <w:next w:val="Normale"/>
    <w:autoRedefine/>
    <w:qFormat/>
    <w:rsid w:val="00587C75"/>
    <w:pPr>
      <w:spacing w:before="120" w:after="120"/>
    </w:pPr>
  </w:style>
  <w:style w:type="paragraph" w:customStyle="1" w:styleId="Tablestylebold">
    <w:name w:val="Table style bold"/>
    <w:basedOn w:val="Tablestyle"/>
    <w:next w:val="Normale"/>
    <w:autoRedefine/>
    <w:qFormat/>
    <w:rsid w:val="00587C75"/>
    <w:rPr>
      <w:b/>
    </w:rPr>
  </w:style>
  <w:style w:type="paragraph" w:styleId="Intestazione">
    <w:name w:val="header"/>
    <w:basedOn w:val="Normale"/>
    <w:link w:val="IntestazioneCarattere"/>
    <w:uiPriority w:val="99"/>
    <w:unhideWhenUsed/>
    <w:rsid w:val="006B0CA7"/>
    <w:pPr>
      <w:tabs>
        <w:tab w:val="center" w:pos="4819"/>
        <w:tab w:val="right" w:pos="9638"/>
      </w:tabs>
    </w:pPr>
  </w:style>
  <w:style w:type="character" w:customStyle="1" w:styleId="IntestazioneCarattere">
    <w:name w:val="Intestazione Carattere"/>
    <w:basedOn w:val="Carpredefinitoparagrafo"/>
    <w:link w:val="Intestazione"/>
    <w:uiPriority w:val="99"/>
    <w:rsid w:val="006B0CA7"/>
    <w:rPr>
      <w:rFonts w:ascii="Arial" w:hAnsi="Arial"/>
      <w:sz w:val="22"/>
    </w:rPr>
  </w:style>
  <w:style w:type="paragraph" w:styleId="Pidipagina">
    <w:name w:val="footer"/>
    <w:basedOn w:val="Normale"/>
    <w:link w:val="PidipaginaCarattere"/>
    <w:uiPriority w:val="99"/>
    <w:unhideWhenUsed/>
    <w:rsid w:val="006B0CA7"/>
    <w:pPr>
      <w:tabs>
        <w:tab w:val="center" w:pos="4819"/>
        <w:tab w:val="right" w:pos="9638"/>
      </w:tabs>
    </w:pPr>
  </w:style>
  <w:style w:type="character" w:customStyle="1" w:styleId="PidipaginaCarattere">
    <w:name w:val="Piè di pagina Carattere"/>
    <w:basedOn w:val="Carpredefinitoparagrafo"/>
    <w:link w:val="Pidipagina"/>
    <w:uiPriority w:val="99"/>
    <w:rsid w:val="006B0CA7"/>
    <w:rPr>
      <w:rFonts w:ascii="Arial" w:hAnsi="Arial"/>
      <w:sz w:val="22"/>
    </w:rPr>
  </w:style>
  <w:style w:type="paragraph" w:styleId="Testofumetto">
    <w:name w:val="Balloon Text"/>
    <w:basedOn w:val="Normale"/>
    <w:link w:val="TestofumettoCarattere"/>
    <w:uiPriority w:val="99"/>
    <w:semiHidden/>
    <w:unhideWhenUsed/>
    <w:rsid w:val="006B0CA7"/>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6B0CA7"/>
    <w:rPr>
      <w:rFonts w:ascii="Lucida Grande" w:hAnsi="Lucida Grande" w:cs="Lucida Grande"/>
      <w:sz w:val="18"/>
      <w:szCs w:val="18"/>
    </w:rPr>
  </w:style>
  <w:style w:type="table" w:styleId="Grigliatabella">
    <w:name w:val="Table Grid"/>
    <w:basedOn w:val="Tabellanormale"/>
    <w:uiPriority w:val="59"/>
    <w:rsid w:val="006B0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B0CA7"/>
    <w:rPr>
      <w:color w:val="0000FF" w:themeColor="hyperlink"/>
      <w:u w:val="single"/>
    </w:rPr>
  </w:style>
  <w:style w:type="paragraph" w:styleId="Paragrafoelenco">
    <w:name w:val="List Paragraph"/>
    <w:basedOn w:val="Normale"/>
    <w:uiPriority w:val="34"/>
    <w:qFormat/>
    <w:rsid w:val="00E16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2398</Words>
  <Characters>13675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Sperandio</dc:creator>
  <cp:keywords/>
  <dc:description/>
  <cp:lastModifiedBy>Giulia Matteucci</cp:lastModifiedBy>
  <cp:revision>20</cp:revision>
  <dcterms:created xsi:type="dcterms:W3CDTF">2020-02-07T09:48:00Z</dcterms:created>
  <dcterms:modified xsi:type="dcterms:W3CDTF">2020-03-10T17:08:00Z</dcterms:modified>
</cp:coreProperties>
</file>